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1A19B" w14:textId="77777777" w:rsidR="00A61D74" w:rsidRPr="00A24DCC" w:rsidRDefault="00502DBA" w:rsidP="00502DBA">
      <w:pPr>
        <w:spacing w:before="100" w:beforeAutospacing="1" w:after="100" w:afterAutospacing="1"/>
        <w:jc w:val="center"/>
        <w:outlineLvl w:val="0"/>
        <w:rPr>
          <w:rFonts w:ascii="Roboto" w:eastAsia="Times New Roman" w:hAnsi="Roboto"/>
          <w:b/>
          <w:bCs/>
          <w:color w:val="505050"/>
          <w:kern w:val="36"/>
          <w:sz w:val="48"/>
          <w:szCs w:val="48"/>
          <w:lang w:eastAsia="en-GB"/>
        </w:rPr>
      </w:pPr>
      <w:r>
        <w:rPr>
          <w:rFonts w:ascii="Roboto" w:eastAsia="Times New Roman" w:hAnsi="Roboto"/>
          <w:b/>
          <w:bCs/>
          <w:color w:val="505050"/>
          <w:kern w:val="36"/>
          <w:sz w:val="48"/>
          <w:szCs w:val="48"/>
          <w:lang w:eastAsia="en-GB"/>
        </w:rPr>
        <w:t>Reference m</w:t>
      </w:r>
      <w:r w:rsidR="00A61D74" w:rsidRPr="00A24DCC">
        <w:rPr>
          <w:rFonts w:ascii="Roboto" w:eastAsia="Times New Roman" w:hAnsi="Roboto"/>
          <w:b/>
          <w:bCs/>
          <w:color w:val="505050"/>
          <w:kern w:val="36"/>
          <w:sz w:val="48"/>
          <w:szCs w:val="48"/>
          <w:lang w:eastAsia="en-GB"/>
        </w:rPr>
        <w:t xml:space="preserve">etadata </w:t>
      </w:r>
      <w:r>
        <w:rPr>
          <w:rFonts w:ascii="Roboto" w:eastAsia="Times New Roman" w:hAnsi="Roboto"/>
          <w:b/>
          <w:bCs/>
          <w:color w:val="505050"/>
          <w:kern w:val="36"/>
          <w:sz w:val="48"/>
          <w:szCs w:val="48"/>
          <w:lang w:eastAsia="en-GB"/>
        </w:rPr>
        <w:t>template</w:t>
      </w:r>
      <w:r w:rsidR="00A61D74" w:rsidRPr="00A24DCC">
        <w:rPr>
          <w:rFonts w:ascii="Roboto" w:eastAsia="Times New Roman" w:hAnsi="Roboto"/>
          <w:b/>
          <w:bCs/>
          <w:color w:val="505050"/>
          <w:kern w:val="36"/>
          <w:sz w:val="48"/>
          <w:szCs w:val="48"/>
          <w:lang w:eastAsia="en-GB"/>
        </w:rPr>
        <w:t xml:space="preserve"> for </w:t>
      </w:r>
      <w:r>
        <w:rPr>
          <w:rFonts w:ascii="Roboto" w:eastAsia="Times New Roman" w:hAnsi="Roboto"/>
          <w:b/>
          <w:bCs/>
          <w:color w:val="505050"/>
          <w:kern w:val="36"/>
          <w:sz w:val="48"/>
          <w:szCs w:val="48"/>
          <w:lang w:eastAsia="en-GB"/>
        </w:rPr>
        <w:t>data reported on the Sustainable Development Goals (SDGs)</w:t>
      </w:r>
    </w:p>
    <w:p w14:paraId="13E1B08C" w14:textId="77777777" w:rsidR="00A61D74" w:rsidRPr="00621893" w:rsidRDefault="001332E0" w:rsidP="001332E0">
      <w:pPr>
        <w:rPr>
          <w:rFonts w:ascii="Roboto" w:eastAsia="Times New Roman" w:hAnsi="Roboto"/>
          <w:color w:val="244061" w:themeColor="accent1" w:themeShade="80"/>
          <w:sz w:val="24"/>
          <w:szCs w:val="24"/>
          <w:lang w:eastAsia="en-GB"/>
        </w:rPr>
      </w:pPr>
      <w:r>
        <w:rPr>
          <w:rFonts w:ascii="Roboto" w:eastAsia="Times New Roman" w:hAnsi="Roboto"/>
          <w:color w:val="244061" w:themeColor="accent1" w:themeShade="80"/>
          <w:sz w:val="24"/>
          <w:szCs w:val="24"/>
          <w:lang w:eastAsia="en-GB"/>
        </w:rPr>
        <w:t xml:space="preserve">The purpose of this </w:t>
      </w:r>
      <w:r w:rsidR="00502DBA" w:rsidRPr="00621893">
        <w:rPr>
          <w:rFonts w:ascii="Roboto" w:eastAsia="Times New Roman" w:hAnsi="Roboto"/>
          <w:color w:val="244061" w:themeColor="accent1" w:themeShade="80"/>
          <w:sz w:val="24"/>
          <w:szCs w:val="24"/>
          <w:lang w:eastAsia="en-GB"/>
        </w:rPr>
        <w:t>template</w:t>
      </w:r>
      <w:r w:rsidR="00A61D74" w:rsidRPr="00621893">
        <w:rPr>
          <w:rFonts w:ascii="Roboto" w:eastAsia="Times New Roman" w:hAnsi="Roboto"/>
          <w:color w:val="244061" w:themeColor="accent1" w:themeShade="80"/>
          <w:sz w:val="24"/>
          <w:szCs w:val="24"/>
          <w:lang w:eastAsia="en-GB"/>
        </w:rPr>
        <w:t xml:space="preserve"> is for international agencies to </w:t>
      </w:r>
      <w:r>
        <w:rPr>
          <w:rFonts w:ascii="Roboto" w:eastAsia="Times New Roman" w:hAnsi="Roboto"/>
          <w:color w:val="244061" w:themeColor="accent1" w:themeShade="80"/>
          <w:sz w:val="24"/>
          <w:szCs w:val="24"/>
          <w:lang w:eastAsia="en-GB"/>
        </w:rPr>
        <w:t>submit</w:t>
      </w:r>
      <w:r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 xml:space="preserve">metadata on the agreed upon </w:t>
      </w:r>
      <w:r w:rsidR="00621893">
        <w:rPr>
          <w:rFonts w:ascii="Roboto" w:eastAsia="Times New Roman" w:hAnsi="Roboto"/>
          <w:color w:val="244061" w:themeColor="accent1" w:themeShade="80"/>
          <w:sz w:val="24"/>
          <w:szCs w:val="24"/>
          <w:lang w:eastAsia="en-GB"/>
        </w:rPr>
        <w:t xml:space="preserve">tier I and II </w:t>
      </w:r>
      <w:r w:rsidR="00A61D74" w:rsidRPr="00621893">
        <w:rPr>
          <w:rFonts w:ascii="Roboto" w:eastAsia="Times New Roman" w:hAnsi="Roboto"/>
          <w:color w:val="244061" w:themeColor="accent1" w:themeShade="80"/>
          <w:sz w:val="24"/>
          <w:szCs w:val="24"/>
          <w:lang w:eastAsia="en-GB"/>
        </w:rPr>
        <w:t>global indicators</w:t>
      </w:r>
      <w:r w:rsidR="00502DBA" w:rsidRPr="00621893">
        <w:rPr>
          <w:rFonts w:ascii="Roboto" w:eastAsia="Times New Roman" w:hAnsi="Roboto"/>
          <w:color w:val="244061" w:themeColor="accent1" w:themeShade="80"/>
          <w:sz w:val="24"/>
          <w:szCs w:val="24"/>
          <w:lang w:eastAsia="en-GB"/>
        </w:rPr>
        <w:t xml:space="preserve"> and associated data</w:t>
      </w:r>
      <w:r w:rsidR="00A61D74" w:rsidRPr="00621893">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for which they are responsible, </w:t>
      </w:r>
      <w:proofErr w:type="gramStart"/>
      <w:r>
        <w:rPr>
          <w:rFonts w:ascii="Roboto" w:eastAsia="Times New Roman" w:hAnsi="Roboto"/>
          <w:color w:val="244061" w:themeColor="accent1" w:themeShade="80"/>
          <w:sz w:val="24"/>
          <w:szCs w:val="24"/>
          <w:lang w:eastAsia="en-GB"/>
        </w:rPr>
        <w:t xml:space="preserve">in order </w:t>
      </w:r>
      <w:r w:rsidR="00A61D74" w:rsidRPr="00621893">
        <w:rPr>
          <w:rFonts w:ascii="Roboto" w:eastAsia="Times New Roman" w:hAnsi="Roboto"/>
          <w:color w:val="244061" w:themeColor="accent1" w:themeShade="80"/>
          <w:sz w:val="24"/>
          <w:szCs w:val="24"/>
          <w:lang w:eastAsia="en-GB"/>
        </w:rPr>
        <w:t>to</w:t>
      </w:r>
      <w:proofErr w:type="gramEnd"/>
      <w:r w:rsidR="00A61D74" w:rsidRPr="00621893">
        <w:rPr>
          <w:rFonts w:ascii="Roboto" w:eastAsia="Times New Roman" w:hAnsi="Roboto"/>
          <w:color w:val="244061" w:themeColor="accent1" w:themeShade="80"/>
          <w:sz w:val="24"/>
          <w:szCs w:val="24"/>
          <w:lang w:eastAsia="en-GB"/>
        </w:rPr>
        <w:t xml:space="preserve"> monitor the Sustainable Development Goals</w:t>
      </w:r>
      <w:r w:rsidR="006C7D30">
        <w:rPr>
          <w:rFonts w:ascii="Roboto" w:eastAsia="Times New Roman" w:hAnsi="Roboto"/>
          <w:color w:val="244061" w:themeColor="accent1" w:themeShade="80"/>
          <w:sz w:val="24"/>
          <w:szCs w:val="24"/>
          <w:lang w:eastAsia="en-GB"/>
        </w:rPr>
        <w:t xml:space="preserve"> (SDGs)</w:t>
      </w:r>
      <w:r w:rsidR="00A61D74" w:rsidRPr="00621893">
        <w:rPr>
          <w:rFonts w:ascii="Roboto" w:eastAsia="Times New Roman" w:hAnsi="Roboto"/>
          <w:color w:val="244061" w:themeColor="accent1" w:themeShade="80"/>
          <w:sz w:val="24"/>
          <w:szCs w:val="24"/>
          <w:lang w:eastAsia="en-GB"/>
        </w:rPr>
        <w:t xml:space="preserve"> and targets in a consistent manner. </w:t>
      </w:r>
      <w:r>
        <w:rPr>
          <w:rFonts w:ascii="Roboto" w:eastAsia="Times New Roman" w:hAnsi="Roboto"/>
          <w:color w:val="244061" w:themeColor="accent1" w:themeShade="80"/>
          <w:sz w:val="24"/>
          <w:szCs w:val="24"/>
          <w:lang w:eastAsia="en-GB"/>
        </w:rPr>
        <w:t xml:space="preserve">We </w:t>
      </w:r>
      <w:r w:rsidRPr="00621893">
        <w:rPr>
          <w:rFonts w:ascii="Roboto" w:eastAsia="Times New Roman" w:hAnsi="Roboto"/>
          <w:color w:val="244061" w:themeColor="accent1" w:themeShade="80"/>
          <w:sz w:val="24"/>
          <w:szCs w:val="24"/>
          <w:lang w:eastAsia="en-GB"/>
        </w:rPr>
        <w:t xml:space="preserve">appreciate the work </w:t>
      </w:r>
      <w:r>
        <w:rPr>
          <w:rFonts w:ascii="Roboto" w:eastAsia="Times New Roman" w:hAnsi="Roboto"/>
          <w:color w:val="244061" w:themeColor="accent1" w:themeShade="80"/>
          <w:sz w:val="24"/>
          <w:szCs w:val="24"/>
          <w:lang w:eastAsia="en-GB"/>
        </w:rPr>
        <w:t>done by many agencies to</w:t>
      </w:r>
      <w:r w:rsidRPr="00621893">
        <w:rPr>
          <w:rFonts w:ascii="Roboto" w:eastAsia="Times New Roman" w:hAnsi="Roboto"/>
          <w:color w:val="244061" w:themeColor="accent1" w:themeShade="80"/>
          <w:sz w:val="24"/>
          <w:szCs w:val="24"/>
          <w:lang w:eastAsia="en-GB"/>
        </w:rPr>
        <w:t xml:space="preserve"> prepar</w:t>
      </w:r>
      <w:r>
        <w:rPr>
          <w:rFonts w:ascii="Roboto" w:eastAsia="Times New Roman" w:hAnsi="Roboto"/>
          <w:color w:val="244061" w:themeColor="accent1" w:themeShade="80"/>
          <w:sz w:val="24"/>
          <w:szCs w:val="24"/>
          <w:lang w:eastAsia="en-GB"/>
        </w:rPr>
        <w:t>e</w:t>
      </w:r>
      <w:r w:rsidRPr="00621893" w:rsidDel="001332E0">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previous </w:t>
      </w:r>
      <w:r w:rsidR="00A61D74" w:rsidRPr="00621893">
        <w:rPr>
          <w:rFonts w:ascii="Roboto" w:eastAsia="Times New Roman" w:hAnsi="Roboto"/>
          <w:color w:val="244061" w:themeColor="accent1" w:themeShade="80"/>
          <w:sz w:val="24"/>
          <w:szCs w:val="24"/>
          <w:lang w:eastAsia="en-GB"/>
        </w:rPr>
        <w:t>versions of their metadata</w:t>
      </w:r>
      <w:r>
        <w:rPr>
          <w:rFonts w:ascii="Roboto" w:eastAsia="Times New Roman" w:hAnsi="Roboto"/>
          <w:color w:val="244061" w:themeColor="accent1" w:themeShade="80"/>
          <w:sz w:val="24"/>
          <w:szCs w:val="24"/>
          <w:lang w:eastAsia="en-GB"/>
        </w:rPr>
        <w:t xml:space="preserve"> and submit it </w:t>
      </w:r>
      <w:r w:rsidR="00A61D74" w:rsidRPr="00621893">
        <w:rPr>
          <w:rFonts w:ascii="Roboto" w:eastAsia="Times New Roman" w:hAnsi="Roboto"/>
          <w:color w:val="244061" w:themeColor="accent1" w:themeShade="80"/>
          <w:sz w:val="24"/>
          <w:szCs w:val="24"/>
          <w:lang w:eastAsia="en-GB"/>
        </w:rPr>
        <w:t xml:space="preserve">to UNSD </w:t>
      </w:r>
      <w:proofErr w:type="gramStart"/>
      <w:r>
        <w:rPr>
          <w:rFonts w:ascii="Roboto" w:eastAsia="Times New Roman" w:hAnsi="Roboto"/>
          <w:color w:val="244061" w:themeColor="accent1" w:themeShade="80"/>
          <w:sz w:val="24"/>
          <w:szCs w:val="24"/>
          <w:lang w:eastAsia="en-GB"/>
        </w:rPr>
        <w:t>I</w:t>
      </w:r>
      <w:r w:rsidR="00A61D74" w:rsidRPr="00621893">
        <w:rPr>
          <w:rFonts w:ascii="Roboto" w:eastAsia="Times New Roman" w:hAnsi="Roboto"/>
          <w:color w:val="244061" w:themeColor="accent1" w:themeShade="80"/>
          <w:sz w:val="24"/>
          <w:szCs w:val="24"/>
          <w:lang w:eastAsia="en-GB"/>
        </w:rPr>
        <w:t>n</w:t>
      </w:r>
      <w:proofErr w:type="gramEnd"/>
      <w:r w:rsidR="00A61D74" w:rsidRPr="00621893">
        <w:rPr>
          <w:rFonts w:ascii="Roboto" w:eastAsia="Times New Roman" w:hAnsi="Roboto"/>
          <w:color w:val="244061" w:themeColor="accent1" w:themeShade="80"/>
          <w:sz w:val="24"/>
          <w:szCs w:val="24"/>
          <w:lang w:eastAsia="en-GB"/>
        </w:rPr>
        <w:t xml:space="preserve"> order to ensure </w:t>
      </w:r>
      <w:r>
        <w:rPr>
          <w:rFonts w:ascii="Roboto" w:eastAsia="Times New Roman" w:hAnsi="Roboto"/>
          <w:color w:val="244061" w:themeColor="accent1" w:themeShade="80"/>
          <w:sz w:val="24"/>
          <w:szCs w:val="24"/>
          <w:lang w:eastAsia="en-GB"/>
        </w:rPr>
        <w:t xml:space="preserve">further </w:t>
      </w:r>
      <w:r w:rsidR="00A61D74" w:rsidRPr="00621893">
        <w:rPr>
          <w:rFonts w:ascii="Roboto" w:eastAsia="Times New Roman" w:hAnsi="Roboto"/>
          <w:color w:val="244061" w:themeColor="accent1" w:themeShade="80"/>
          <w:sz w:val="24"/>
          <w:szCs w:val="24"/>
          <w:lang w:eastAsia="en-GB"/>
        </w:rPr>
        <w:t xml:space="preserve">coherence and consistency of the metadata that will be </w:t>
      </w:r>
      <w:r>
        <w:rPr>
          <w:rFonts w:ascii="Roboto" w:eastAsia="Times New Roman" w:hAnsi="Roboto"/>
          <w:color w:val="244061" w:themeColor="accent1" w:themeShade="80"/>
          <w:sz w:val="24"/>
          <w:szCs w:val="24"/>
          <w:lang w:eastAsia="en-GB"/>
        </w:rPr>
        <w:t>presented alongside</w:t>
      </w:r>
      <w:r w:rsidRPr="00621893">
        <w:rPr>
          <w:rFonts w:ascii="Roboto" w:eastAsia="Times New Roman" w:hAnsi="Roboto"/>
          <w:color w:val="244061" w:themeColor="accent1" w:themeShade="80"/>
          <w:sz w:val="24"/>
          <w:szCs w:val="24"/>
          <w:lang w:eastAsia="en-GB"/>
        </w:rPr>
        <w:t xml:space="preserve"> </w:t>
      </w:r>
      <w:r w:rsidR="00A61D74" w:rsidRPr="00621893">
        <w:rPr>
          <w:rFonts w:ascii="Roboto" w:eastAsia="Times New Roman" w:hAnsi="Roboto"/>
          <w:color w:val="244061" w:themeColor="accent1" w:themeShade="80"/>
          <w:sz w:val="24"/>
          <w:szCs w:val="24"/>
          <w:lang w:eastAsia="en-GB"/>
        </w:rPr>
        <w:t xml:space="preserve">the SDG indicator database, </w:t>
      </w:r>
      <w:r>
        <w:rPr>
          <w:rFonts w:ascii="Roboto" w:eastAsia="Times New Roman" w:hAnsi="Roboto"/>
          <w:color w:val="244061" w:themeColor="accent1" w:themeShade="80"/>
          <w:sz w:val="24"/>
          <w:szCs w:val="24"/>
          <w:lang w:eastAsia="en-GB"/>
        </w:rPr>
        <w:t xml:space="preserve">we are requesting additional and </w:t>
      </w:r>
      <w:r w:rsidR="00A61D74" w:rsidRPr="00621893">
        <w:rPr>
          <w:rFonts w:ascii="Roboto" w:eastAsia="Times New Roman" w:hAnsi="Roboto"/>
          <w:color w:val="244061" w:themeColor="accent1" w:themeShade="80"/>
          <w:sz w:val="24"/>
          <w:szCs w:val="24"/>
          <w:lang w:eastAsia="en-GB"/>
        </w:rPr>
        <w:t xml:space="preserve">more uniform </w:t>
      </w:r>
      <w:r>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metadata</w:t>
      </w:r>
      <w:r>
        <w:rPr>
          <w:rFonts w:ascii="Roboto" w:eastAsia="Times New Roman" w:hAnsi="Roboto"/>
          <w:color w:val="244061" w:themeColor="accent1" w:themeShade="80"/>
          <w:sz w:val="24"/>
          <w:szCs w:val="24"/>
          <w:lang w:eastAsia="en-GB"/>
        </w:rPr>
        <w:t xml:space="preserve"> on the </w:t>
      </w:r>
      <w:r w:rsidRPr="001332E0">
        <w:rPr>
          <w:rFonts w:ascii="Roboto" w:eastAsia="Times New Roman" w:hAnsi="Roboto"/>
          <w:color w:val="244061" w:themeColor="accent1" w:themeShade="80"/>
          <w:sz w:val="24"/>
          <w:szCs w:val="24"/>
          <w:lang w:eastAsia="en-GB"/>
        </w:rPr>
        <w:t>global indicators and associated data</w:t>
      </w:r>
      <w:r>
        <w:rPr>
          <w:rFonts w:ascii="Roboto" w:eastAsia="Times New Roman" w:hAnsi="Roboto"/>
          <w:color w:val="244061" w:themeColor="accent1" w:themeShade="80"/>
          <w:sz w:val="24"/>
          <w:szCs w:val="24"/>
          <w:lang w:eastAsia="en-GB"/>
        </w:rPr>
        <w:t xml:space="preserve"> that you are reporting</w:t>
      </w:r>
      <w:r w:rsidR="00A61D74" w:rsidRPr="00621893">
        <w:rPr>
          <w:rFonts w:ascii="Roboto" w:eastAsia="Times New Roman" w:hAnsi="Roboto"/>
          <w:color w:val="244061" w:themeColor="accent1" w:themeShade="80"/>
          <w:sz w:val="24"/>
          <w:szCs w:val="24"/>
          <w:lang w:eastAsia="en-GB"/>
        </w:rPr>
        <w:t xml:space="preserve">. </w:t>
      </w:r>
    </w:p>
    <w:p w14:paraId="543E9A70" w14:textId="77777777" w:rsidR="00A61D74" w:rsidRPr="00621893" w:rsidRDefault="00A61D74" w:rsidP="00B54077">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 xml:space="preserve">While we </w:t>
      </w:r>
      <w:proofErr w:type="gramStart"/>
      <w:r w:rsidRPr="00621893">
        <w:rPr>
          <w:rFonts w:ascii="Roboto" w:eastAsia="Times New Roman" w:hAnsi="Roboto"/>
          <w:color w:val="244061" w:themeColor="accent1" w:themeShade="80"/>
          <w:sz w:val="24"/>
          <w:szCs w:val="24"/>
          <w:lang w:eastAsia="en-GB"/>
        </w:rPr>
        <w:t>reali</w:t>
      </w:r>
      <w:r w:rsidR="001332E0">
        <w:rPr>
          <w:rFonts w:ascii="Roboto" w:eastAsia="Times New Roman" w:hAnsi="Roboto"/>
          <w:color w:val="244061" w:themeColor="accent1" w:themeShade="80"/>
          <w:sz w:val="24"/>
          <w:szCs w:val="24"/>
          <w:lang w:eastAsia="en-GB"/>
        </w:rPr>
        <w:t>s</w:t>
      </w:r>
      <w:r w:rsidRPr="00621893">
        <w:rPr>
          <w:rFonts w:ascii="Roboto" w:eastAsia="Times New Roman" w:hAnsi="Roboto"/>
          <w:color w:val="244061" w:themeColor="accent1" w:themeShade="80"/>
          <w:sz w:val="24"/>
          <w:szCs w:val="24"/>
          <w:lang w:eastAsia="en-GB"/>
        </w:rPr>
        <w:t>e  this</w:t>
      </w:r>
      <w:proofErr w:type="gramEnd"/>
      <w:r w:rsidRPr="00621893">
        <w:rPr>
          <w:rFonts w:ascii="Roboto" w:eastAsia="Times New Roman" w:hAnsi="Roboto"/>
          <w:color w:val="244061" w:themeColor="accent1" w:themeShade="80"/>
          <w:sz w:val="24"/>
          <w:szCs w:val="24"/>
          <w:lang w:eastAsia="en-GB"/>
        </w:rPr>
        <w:t xml:space="preserve"> form is </w:t>
      </w:r>
      <w:r w:rsidR="001332E0">
        <w:rPr>
          <w:rFonts w:ascii="Roboto" w:eastAsia="Times New Roman" w:hAnsi="Roboto"/>
          <w:color w:val="244061" w:themeColor="accent1" w:themeShade="80"/>
          <w:sz w:val="24"/>
          <w:szCs w:val="24"/>
          <w:lang w:eastAsia="en-GB"/>
        </w:rPr>
        <w:t>detailed</w:t>
      </w:r>
      <w:r w:rsidRPr="00621893">
        <w:rPr>
          <w:rFonts w:ascii="Roboto" w:eastAsia="Times New Roman" w:hAnsi="Roboto"/>
          <w:color w:val="244061" w:themeColor="accent1" w:themeShade="80"/>
          <w:sz w:val="24"/>
          <w:szCs w:val="24"/>
          <w:lang w:eastAsia="en-GB"/>
        </w:rPr>
        <w:t>, your willingness to provide th</w:t>
      </w:r>
      <w:r w:rsidR="001332E0">
        <w:rPr>
          <w:rFonts w:ascii="Roboto" w:eastAsia="Times New Roman" w:hAnsi="Roboto"/>
          <w:color w:val="244061" w:themeColor="accent1" w:themeShade="80"/>
          <w:sz w:val="24"/>
          <w:szCs w:val="24"/>
          <w:lang w:eastAsia="en-GB"/>
        </w:rPr>
        <w:t>is reference</w:t>
      </w:r>
      <w:r w:rsidRPr="00621893">
        <w:rPr>
          <w:rFonts w:ascii="Roboto" w:eastAsia="Times New Roman" w:hAnsi="Roboto"/>
          <w:color w:val="244061" w:themeColor="accent1" w:themeShade="80"/>
          <w:sz w:val="24"/>
          <w:szCs w:val="24"/>
          <w:lang w:eastAsia="en-GB"/>
        </w:rPr>
        <w:t xml:space="preserve"> metadata in </w:t>
      </w:r>
      <w:r w:rsidR="006C7D30">
        <w:rPr>
          <w:rFonts w:ascii="Roboto" w:eastAsia="Times New Roman" w:hAnsi="Roboto"/>
          <w:color w:val="244061" w:themeColor="accent1" w:themeShade="80"/>
          <w:sz w:val="24"/>
          <w:szCs w:val="24"/>
          <w:lang w:eastAsia="en-GB"/>
        </w:rPr>
        <w:t>a standard</w:t>
      </w:r>
      <w:r w:rsidRPr="00621893">
        <w:rPr>
          <w:rFonts w:ascii="Roboto" w:eastAsia="Times New Roman" w:hAnsi="Roboto"/>
          <w:color w:val="244061" w:themeColor="accent1" w:themeShade="80"/>
          <w:sz w:val="24"/>
          <w:szCs w:val="24"/>
          <w:lang w:eastAsia="en-GB"/>
        </w:rPr>
        <w:t xml:space="preserve"> format </w:t>
      </w:r>
      <w:r w:rsidR="001332E0">
        <w:rPr>
          <w:rFonts w:ascii="Roboto" w:eastAsia="Times New Roman" w:hAnsi="Roboto"/>
          <w:color w:val="244061" w:themeColor="accent1" w:themeShade="80"/>
          <w:sz w:val="24"/>
          <w:szCs w:val="24"/>
          <w:lang w:eastAsia="en-GB"/>
        </w:rPr>
        <w:t xml:space="preserve">will </w:t>
      </w:r>
      <w:r w:rsidR="00B54077">
        <w:rPr>
          <w:rFonts w:ascii="Roboto" w:eastAsia="Times New Roman" w:hAnsi="Roboto"/>
          <w:color w:val="244061" w:themeColor="accent1" w:themeShade="80"/>
          <w:sz w:val="24"/>
          <w:szCs w:val="24"/>
          <w:lang w:eastAsia="en-GB"/>
        </w:rPr>
        <w:t xml:space="preserve">be </w:t>
      </w:r>
      <w:r w:rsidR="001332E0">
        <w:rPr>
          <w:rFonts w:ascii="Roboto" w:eastAsia="Times New Roman" w:hAnsi="Roboto"/>
          <w:color w:val="244061" w:themeColor="accent1" w:themeShade="80"/>
          <w:sz w:val="24"/>
          <w:szCs w:val="24"/>
          <w:lang w:eastAsia="en-GB"/>
        </w:rPr>
        <w:t xml:space="preserve">vital to users </w:t>
      </w:r>
      <w:r w:rsidR="00B54077">
        <w:rPr>
          <w:rFonts w:ascii="Roboto" w:eastAsia="Times New Roman" w:hAnsi="Roboto"/>
          <w:color w:val="244061" w:themeColor="accent1" w:themeShade="80"/>
          <w:sz w:val="24"/>
          <w:szCs w:val="24"/>
          <w:lang w:eastAsia="en-GB"/>
        </w:rPr>
        <w:t xml:space="preserve">better understanding </w:t>
      </w:r>
      <w:r w:rsidR="001332E0">
        <w:rPr>
          <w:rFonts w:ascii="Roboto" w:eastAsia="Times New Roman" w:hAnsi="Roboto"/>
          <w:color w:val="244061" w:themeColor="accent1" w:themeShade="80"/>
          <w:sz w:val="24"/>
          <w:szCs w:val="24"/>
          <w:lang w:eastAsia="en-GB"/>
        </w:rPr>
        <w:t xml:space="preserve">of the </w:t>
      </w:r>
      <w:r w:rsidR="001332E0" w:rsidRPr="001332E0">
        <w:rPr>
          <w:rFonts w:ascii="Roboto" w:eastAsia="Times New Roman" w:hAnsi="Roboto"/>
          <w:color w:val="244061" w:themeColor="accent1" w:themeShade="80"/>
          <w:sz w:val="24"/>
          <w:szCs w:val="24"/>
          <w:lang w:eastAsia="en-GB"/>
        </w:rPr>
        <w:t>global indicators and associated data</w:t>
      </w:r>
      <w:r w:rsidR="001332E0">
        <w:rPr>
          <w:rFonts w:ascii="Roboto" w:eastAsia="Times New Roman" w:hAnsi="Roboto"/>
          <w:color w:val="244061" w:themeColor="accent1" w:themeShade="80"/>
          <w:sz w:val="24"/>
          <w:szCs w:val="24"/>
          <w:lang w:eastAsia="en-GB"/>
        </w:rPr>
        <w:t xml:space="preserve"> you have provided. We </w:t>
      </w:r>
      <w:r w:rsidRPr="00621893">
        <w:rPr>
          <w:rFonts w:ascii="Roboto" w:eastAsia="Times New Roman" w:hAnsi="Roboto"/>
          <w:color w:val="244061" w:themeColor="accent1" w:themeShade="80"/>
          <w:sz w:val="24"/>
          <w:szCs w:val="24"/>
          <w:lang w:eastAsia="en-GB"/>
        </w:rPr>
        <w:t xml:space="preserve">hope </w:t>
      </w:r>
      <w:r w:rsidR="006C7D30">
        <w:rPr>
          <w:rFonts w:ascii="Roboto" w:eastAsia="Times New Roman" w:hAnsi="Roboto"/>
          <w:color w:val="244061" w:themeColor="accent1" w:themeShade="80"/>
          <w:sz w:val="24"/>
          <w:szCs w:val="24"/>
          <w:lang w:eastAsia="en-GB"/>
        </w:rPr>
        <w:t>any</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metadata</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 xml:space="preserve">submitted previously </w:t>
      </w:r>
      <w:r w:rsidRPr="00621893">
        <w:rPr>
          <w:rFonts w:ascii="Roboto" w:eastAsia="Times New Roman" w:hAnsi="Roboto"/>
          <w:color w:val="244061" w:themeColor="accent1" w:themeShade="80"/>
          <w:sz w:val="24"/>
          <w:szCs w:val="24"/>
          <w:lang w:eastAsia="en-GB"/>
        </w:rPr>
        <w:t>can be copied and pasted into the relevant section</w:t>
      </w:r>
      <w:r w:rsidR="006C7D30">
        <w:rPr>
          <w:rFonts w:ascii="Roboto" w:eastAsia="Times New Roman" w:hAnsi="Roboto"/>
          <w:color w:val="244061" w:themeColor="accent1" w:themeShade="80"/>
          <w:sz w:val="24"/>
          <w:szCs w:val="24"/>
          <w:lang w:eastAsia="en-GB"/>
        </w:rPr>
        <w:t xml:space="preserve"> of this form</w:t>
      </w:r>
      <w:r w:rsidRPr="00621893">
        <w:rPr>
          <w:rFonts w:ascii="Roboto" w:eastAsia="Times New Roman" w:hAnsi="Roboto"/>
          <w:color w:val="244061" w:themeColor="accent1" w:themeShade="80"/>
          <w:sz w:val="24"/>
          <w:szCs w:val="24"/>
          <w:lang w:eastAsia="en-GB"/>
        </w:rPr>
        <w:t xml:space="preserve">. Any metadata that was previously submitted </w:t>
      </w:r>
      <w:r w:rsidR="001332E0">
        <w:rPr>
          <w:rFonts w:ascii="Roboto" w:eastAsia="Times New Roman" w:hAnsi="Roboto"/>
          <w:color w:val="244061" w:themeColor="accent1" w:themeShade="80"/>
          <w:sz w:val="24"/>
          <w:szCs w:val="24"/>
          <w:lang w:eastAsia="en-GB"/>
        </w:rPr>
        <w:t xml:space="preserve">to UNSD </w:t>
      </w:r>
      <w:r w:rsidRPr="00621893">
        <w:rPr>
          <w:rFonts w:ascii="Roboto" w:eastAsia="Times New Roman" w:hAnsi="Roboto"/>
          <w:color w:val="244061" w:themeColor="accent1" w:themeShade="80"/>
          <w:sz w:val="24"/>
          <w:szCs w:val="24"/>
          <w:lang w:eastAsia="en-GB"/>
        </w:rPr>
        <w:t xml:space="preserve">can be found at: </w:t>
      </w:r>
      <w:hyperlink r:id="rId8" w:history="1">
        <w:r w:rsidRPr="00621893">
          <w:rPr>
            <w:rFonts w:ascii="Roboto" w:eastAsia="Times New Roman" w:hAnsi="Roboto"/>
            <w:color w:val="244061" w:themeColor="accent1" w:themeShade="80"/>
            <w:sz w:val="24"/>
            <w:szCs w:val="24"/>
            <w:u w:val="single"/>
            <w:lang w:eastAsia="en-GB"/>
          </w:rPr>
          <w:t>http://unstats.un.org/sdgs/iaeg-sdgs/metadata-compilation/</w:t>
        </w:r>
      </w:hyperlink>
      <w:r w:rsidRPr="00621893">
        <w:rPr>
          <w:rFonts w:ascii="Roboto" w:eastAsia="Times New Roman" w:hAnsi="Roboto"/>
          <w:color w:val="244061" w:themeColor="accent1" w:themeShade="80"/>
          <w:sz w:val="24"/>
          <w:szCs w:val="24"/>
          <w:lang w:eastAsia="en-GB"/>
        </w:rPr>
        <w:t>.</w:t>
      </w:r>
    </w:p>
    <w:p w14:paraId="00B7A1A5" w14:textId="77777777" w:rsidR="00A61D74" w:rsidRPr="00621893" w:rsidRDefault="00A61D74" w:rsidP="006C7D30">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This form should be completed by the international agencies that provided their data for inclusion in the SDG progress report</w:t>
      </w:r>
      <w:r w:rsidR="00502DBA" w:rsidRPr="00621893">
        <w:rPr>
          <w:rFonts w:ascii="Roboto" w:eastAsia="Times New Roman" w:hAnsi="Roboto"/>
          <w:color w:val="244061" w:themeColor="accent1" w:themeShade="80"/>
          <w:sz w:val="24"/>
          <w:szCs w:val="24"/>
          <w:lang w:eastAsia="en-GB"/>
        </w:rPr>
        <w:t xml:space="preserve"> and associated database</w:t>
      </w:r>
      <w:r w:rsidRPr="00621893">
        <w:rPr>
          <w:rFonts w:ascii="Roboto" w:eastAsia="Times New Roman" w:hAnsi="Roboto"/>
          <w:color w:val="244061" w:themeColor="accent1" w:themeShade="80"/>
          <w:sz w:val="24"/>
          <w:szCs w:val="24"/>
          <w:lang w:eastAsia="en-GB"/>
        </w:rPr>
        <w:t>.</w:t>
      </w:r>
      <w:r w:rsidR="00502DBA" w:rsidRPr="00621893">
        <w:rPr>
          <w:rFonts w:ascii="Roboto" w:eastAsia="Times New Roman" w:hAnsi="Roboto"/>
          <w:color w:val="244061" w:themeColor="accent1" w:themeShade="80"/>
          <w:sz w:val="24"/>
          <w:szCs w:val="24"/>
          <w:lang w:eastAsia="en-GB"/>
        </w:rPr>
        <w:t xml:space="preserve"> Please replace the instruction text shaded in </w:t>
      </w:r>
      <w:r w:rsidR="00502DBA" w:rsidRPr="00621893">
        <w:rPr>
          <w:rFonts w:ascii="Roboto" w:eastAsia="Times New Roman" w:hAnsi="Roboto"/>
          <w:color w:val="244061" w:themeColor="accent1" w:themeShade="80"/>
          <w:sz w:val="24"/>
          <w:szCs w:val="24"/>
          <w:highlight w:val="yellow"/>
          <w:lang w:eastAsia="en-GB"/>
        </w:rPr>
        <w:t>yellow</w:t>
      </w:r>
      <w:r w:rsidR="00502DBA" w:rsidRPr="00621893">
        <w:rPr>
          <w:rFonts w:ascii="Roboto" w:eastAsia="Times New Roman" w:hAnsi="Roboto"/>
          <w:color w:val="244061" w:themeColor="accent1" w:themeShade="80"/>
          <w:sz w:val="24"/>
          <w:szCs w:val="24"/>
          <w:lang w:eastAsia="en-GB"/>
        </w:rPr>
        <w:t xml:space="preserve"> with the appropriate text describing the reference metadata for that </w:t>
      </w:r>
      <w:r w:rsidR="006C7D30">
        <w:rPr>
          <w:rFonts w:ascii="Roboto" w:eastAsia="Times New Roman" w:hAnsi="Roboto"/>
          <w:color w:val="244061" w:themeColor="accent1" w:themeShade="80"/>
          <w:sz w:val="24"/>
          <w:szCs w:val="24"/>
          <w:lang w:eastAsia="en-GB"/>
        </w:rPr>
        <w:t>section</w:t>
      </w:r>
      <w:r w:rsidR="006C7D30"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(i.e. definition, rationale, etc.). </w:t>
      </w:r>
      <w:r w:rsidRPr="00621893">
        <w:rPr>
          <w:rFonts w:ascii="Roboto" w:eastAsia="Times New Roman" w:hAnsi="Roboto"/>
          <w:color w:val="244061" w:themeColor="accent1" w:themeShade="80"/>
          <w:sz w:val="24"/>
          <w:szCs w:val="24"/>
          <w:lang w:eastAsia="en-GB"/>
        </w:rPr>
        <w:t>Please try to make your responses as concise as possible while making sure to include all relevant information. For more detailed methodological information, a link can be included in the reference section</w:t>
      </w:r>
      <w:r w:rsidR="006C7D30">
        <w:rPr>
          <w:rFonts w:ascii="Roboto" w:eastAsia="Times New Roman" w:hAnsi="Roboto"/>
          <w:color w:val="244061" w:themeColor="accent1" w:themeShade="80"/>
          <w:sz w:val="24"/>
          <w:szCs w:val="24"/>
          <w:lang w:eastAsia="en-GB"/>
        </w:rPr>
        <w:t xml:space="preserve"> (see page 4)</w:t>
      </w:r>
      <w:r w:rsidRPr="00621893">
        <w:rPr>
          <w:rFonts w:ascii="Roboto" w:eastAsia="Times New Roman" w:hAnsi="Roboto"/>
          <w:color w:val="244061" w:themeColor="accent1" w:themeShade="80"/>
          <w:sz w:val="24"/>
          <w:szCs w:val="24"/>
          <w:lang w:eastAsia="en-GB"/>
        </w:rPr>
        <w:t xml:space="preserve">. </w:t>
      </w:r>
    </w:p>
    <w:p w14:paraId="1FC0DA16" w14:textId="3A507285" w:rsidR="00A61D74" w:rsidRPr="00621893" w:rsidRDefault="00A61D74" w:rsidP="00A61D74">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 xml:space="preserve">If there are any questions regarding SDG metadata or this form, please contact </w:t>
      </w:r>
      <w:r w:rsidR="008534D4">
        <w:rPr>
          <w:rFonts w:ascii="Roboto" w:eastAsia="Times New Roman" w:hAnsi="Roboto"/>
          <w:color w:val="244061" w:themeColor="accent1" w:themeShade="80"/>
          <w:sz w:val="24"/>
          <w:szCs w:val="24"/>
          <w:lang w:eastAsia="en-GB"/>
        </w:rPr>
        <w:t>Zin Lin</w:t>
      </w:r>
      <w:r w:rsidRPr="00621893">
        <w:rPr>
          <w:rFonts w:ascii="Roboto" w:eastAsia="Times New Roman" w:hAnsi="Roboto"/>
          <w:color w:val="244061" w:themeColor="accent1" w:themeShade="80"/>
          <w:sz w:val="24"/>
          <w:szCs w:val="24"/>
          <w:lang w:eastAsia="en-GB"/>
        </w:rPr>
        <w:t xml:space="preserve"> at </w:t>
      </w:r>
      <w:hyperlink r:id="rId9" w:history="1">
        <w:r w:rsidR="008534D4">
          <w:rPr>
            <w:rStyle w:val="Hyperlink"/>
            <w:rFonts w:ascii="Roboto" w:eastAsia="Times New Roman" w:hAnsi="Roboto"/>
            <w:color w:val="000080" w:themeColor="hyperlink" w:themeShade="80"/>
            <w:sz w:val="24"/>
            <w:szCs w:val="24"/>
            <w:lang w:eastAsia="en-GB"/>
          </w:rPr>
          <w:t>lin</w:t>
        </w:r>
        <w:r w:rsidR="008534D4" w:rsidRPr="00711297">
          <w:rPr>
            <w:rStyle w:val="Hyperlink"/>
            <w:rFonts w:ascii="Roboto" w:eastAsia="Times New Roman" w:hAnsi="Roboto"/>
            <w:color w:val="000080" w:themeColor="hyperlink" w:themeShade="80"/>
            <w:sz w:val="24"/>
            <w:szCs w:val="24"/>
            <w:lang w:eastAsia="en-GB"/>
          </w:rPr>
          <w:t>@un.org</w:t>
        </w:r>
      </w:hyperlink>
      <w:r w:rsidRPr="00621893">
        <w:rPr>
          <w:rFonts w:ascii="Roboto" w:eastAsia="Times New Roman" w:hAnsi="Roboto"/>
          <w:color w:val="244061" w:themeColor="accent1" w:themeShade="80"/>
          <w:sz w:val="24"/>
          <w:szCs w:val="24"/>
          <w:lang w:eastAsia="en-GB"/>
        </w:rPr>
        <w:t xml:space="preserve">. </w:t>
      </w:r>
    </w:p>
    <w:p w14:paraId="447B38BD" w14:textId="77777777" w:rsidR="00A61D74" w:rsidRDefault="00A61D74" w:rsidP="00A61D74">
      <w:pPr>
        <w:jc w:val="center"/>
        <w:rPr>
          <w:rFonts w:eastAsia="Times New Roman" w:cs="Times New Roman"/>
          <w:color w:val="333333"/>
          <w:sz w:val="21"/>
          <w:szCs w:val="21"/>
          <w:lang w:eastAsia="en-GB"/>
        </w:rPr>
      </w:pPr>
      <w:r>
        <w:rPr>
          <w:rFonts w:eastAsia="Times New Roman" w:cs="Times New Roman"/>
          <w:color w:val="333333"/>
          <w:sz w:val="21"/>
          <w:szCs w:val="21"/>
          <w:lang w:eastAsia="en-GB"/>
        </w:rPr>
        <w:br w:type="page"/>
      </w:r>
    </w:p>
    <w:p w14:paraId="7282F4A0" w14:textId="77777777" w:rsidR="00524F84" w:rsidRPr="00F656E9" w:rsidRDefault="00524F84" w:rsidP="00524F84">
      <w:pPr>
        <w:jc w:val="both"/>
        <w:rPr>
          <w:rFonts w:ascii="Times New Roman" w:eastAsia="Times New Roman" w:hAnsi="Times New Roman"/>
          <w:i/>
          <w:color w:val="1775E0"/>
          <w:sz w:val="24"/>
          <w:szCs w:val="24"/>
        </w:rPr>
      </w:pPr>
      <w:r w:rsidRPr="00F656E9">
        <w:rPr>
          <w:rFonts w:ascii="Times New Roman" w:hAnsi="Times New Roman"/>
          <w:i/>
          <w:iCs/>
          <w:sz w:val="24"/>
          <w:szCs w:val="24"/>
        </w:rPr>
        <w:lastRenderedPageBreak/>
        <w:t>Goal 17</w:t>
      </w:r>
      <w:r w:rsidRPr="00F656E9">
        <w:rPr>
          <w:rFonts w:ascii="Times New Roman" w:eastAsia="Times New Roman" w:hAnsi="Times New Roman"/>
          <w:color w:val="1775E0"/>
          <w:sz w:val="24"/>
          <w:szCs w:val="24"/>
        </w:rPr>
        <w:t xml:space="preserve">: </w:t>
      </w:r>
      <w:r w:rsidRPr="00F656E9">
        <w:rPr>
          <w:rFonts w:ascii="Times New Roman" w:eastAsia="Times New Roman" w:hAnsi="Times New Roman"/>
          <w:i/>
          <w:color w:val="1775E0"/>
          <w:sz w:val="24"/>
          <w:szCs w:val="24"/>
        </w:rPr>
        <w:t>Strengthen the means of implementation and revitalize the Global Partnership for Sustainable Development.</w:t>
      </w:r>
    </w:p>
    <w:p w14:paraId="24EF9A0F" w14:textId="77777777" w:rsidR="00524F84" w:rsidRPr="00F656E9" w:rsidRDefault="00524F84" w:rsidP="00524F84">
      <w:pPr>
        <w:jc w:val="both"/>
        <w:rPr>
          <w:rFonts w:ascii="Times New Roman" w:hAnsi="Times New Roman"/>
          <w:i/>
          <w:iCs/>
          <w:sz w:val="24"/>
          <w:szCs w:val="24"/>
        </w:rPr>
      </w:pPr>
      <w:r w:rsidRPr="00F656E9">
        <w:rPr>
          <w:rFonts w:ascii="Times New Roman" w:hAnsi="Times New Roman"/>
          <w:i/>
          <w:iCs/>
          <w:sz w:val="24"/>
          <w:szCs w:val="24"/>
        </w:rPr>
        <w:t xml:space="preserve">Target 17.17: </w:t>
      </w:r>
      <w:r w:rsidRPr="00F656E9">
        <w:rPr>
          <w:rFonts w:ascii="Times New Roman" w:eastAsia="Times New Roman" w:hAnsi="Times New Roman"/>
          <w:color w:val="1775E0"/>
          <w:sz w:val="24"/>
          <w:szCs w:val="24"/>
        </w:rPr>
        <w:t xml:space="preserve"> </w:t>
      </w:r>
      <w:r w:rsidRPr="00F656E9">
        <w:rPr>
          <w:rFonts w:ascii="Times New Roman" w:eastAsia="Times New Roman" w:hAnsi="Times New Roman"/>
          <w:i/>
          <w:color w:val="1775E0"/>
          <w:sz w:val="24"/>
          <w:szCs w:val="24"/>
        </w:rPr>
        <w:t>Encourage and promote effective public, public-private and civil society partnerships, building on the experience and resourcing strategies of partnerships.</w:t>
      </w:r>
    </w:p>
    <w:p w14:paraId="16F5F5B6" w14:textId="77777777" w:rsidR="00524F84" w:rsidRPr="00C4465C" w:rsidRDefault="00524F84" w:rsidP="00524F84">
      <w:pPr>
        <w:jc w:val="both"/>
        <w:rPr>
          <w:rFonts w:ascii="Times New Roman" w:hAnsi="Times New Roman"/>
          <w:i/>
          <w:color w:val="0070C0"/>
          <w:sz w:val="24"/>
          <w:szCs w:val="24"/>
        </w:rPr>
      </w:pPr>
      <w:r w:rsidRPr="00F656E9">
        <w:rPr>
          <w:rFonts w:ascii="Times New Roman" w:hAnsi="Times New Roman"/>
          <w:i/>
          <w:iCs/>
          <w:sz w:val="24"/>
          <w:szCs w:val="24"/>
        </w:rPr>
        <w:t>SDG indicator</w:t>
      </w:r>
      <w:r>
        <w:rPr>
          <w:rFonts w:ascii="Times New Roman" w:hAnsi="Times New Roman"/>
          <w:i/>
          <w:iCs/>
          <w:sz w:val="24"/>
          <w:szCs w:val="24"/>
        </w:rPr>
        <w:t xml:space="preserve"> 17.17.1</w:t>
      </w:r>
      <w:r w:rsidRPr="00F656E9">
        <w:rPr>
          <w:rFonts w:ascii="Times New Roman" w:hAnsi="Times New Roman"/>
          <w:iCs/>
          <w:sz w:val="24"/>
          <w:szCs w:val="24"/>
        </w:rPr>
        <w:t xml:space="preserve">: </w:t>
      </w:r>
      <w:r w:rsidRPr="00C4465C">
        <w:rPr>
          <w:rFonts w:ascii="Times New Roman" w:hAnsi="Times New Roman"/>
          <w:i/>
          <w:color w:val="0070C0"/>
          <w:sz w:val="24"/>
          <w:szCs w:val="24"/>
        </w:rPr>
        <w:t>Amount of United States dollars committed to public-private and civil society partnerships</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66A382CC" w14:textId="77777777" w:rsidR="0058556D" w:rsidRPr="00573631" w:rsidRDefault="00A61D74" w:rsidP="00573C0B">
      <w:pPr>
        <w:pStyle w:val="MText"/>
      </w:pPr>
      <w:r w:rsidRPr="00573C0B">
        <w:t>Agency responsible for global compilation of the indicator or time series specified below</w:t>
      </w:r>
    </w:p>
    <w:p w14:paraId="29DDAA98" w14:textId="77777777" w:rsidR="0058556D" w:rsidRDefault="0058556D"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5257EB77" w14:textId="77777777" w:rsidR="00524F84" w:rsidRDefault="00524F84" w:rsidP="00524F84">
      <w:pPr>
        <w:shd w:val="clear" w:color="auto" w:fill="FFFFFF"/>
        <w:spacing w:after="0"/>
        <w:rPr>
          <w:rFonts w:eastAsia="Times New Roman" w:cs="Times New Roman"/>
          <w:b/>
          <w:bCs/>
          <w:color w:val="4A4A4A"/>
          <w:sz w:val="21"/>
          <w:szCs w:val="21"/>
          <w:lang w:eastAsia="en-GB"/>
        </w:rPr>
      </w:pPr>
      <w:r>
        <w:rPr>
          <w:rFonts w:eastAsia="Times New Roman" w:cs="Times New Roman"/>
          <w:color w:val="4A4A4A"/>
          <w:sz w:val="21"/>
          <w:szCs w:val="21"/>
          <w:lang w:eastAsia="en-GB"/>
        </w:rPr>
        <w:t>Fernanda Ruiz Nuñez</w:t>
      </w:r>
    </w:p>
    <w:p w14:paraId="48EBBDEB"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70EE1B6" w14:textId="77777777" w:rsidR="00524F84" w:rsidRDefault="00524F84" w:rsidP="00524F8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fruiznunez@worldbank.org</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54CD258D" w14:textId="77777777" w:rsidR="00524F84" w:rsidRPr="00573631" w:rsidRDefault="00524F84" w:rsidP="00524F8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5D266B03" w14:textId="77777777" w:rsidR="00524F84" w:rsidRDefault="00524F84" w:rsidP="00524F84">
      <w:pPr>
        <w:jc w:val="both"/>
        <w:rPr>
          <w:rFonts w:ascii="Times New Roman" w:hAnsi="Times New Roman"/>
          <w:color w:val="0070C0"/>
          <w:sz w:val="24"/>
          <w:szCs w:val="24"/>
        </w:rPr>
      </w:pPr>
      <w:r>
        <w:rPr>
          <w:rFonts w:ascii="Times New Roman" w:hAnsi="Times New Roman"/>
          <w:i/>
          <w:iCs/>
          <w:sz w:val="24"/>
          <w:szCs w:val="24"/>
        </w:rPr>
        <w:t xml:space="preserve">Indicator proposed based on WBG data: </w:t>
      </w:r>
      <w:r>
        <w:rPr>
          <w:rFonts w:ascii="Times New Roman" w:hAnsi="Times New Roman"/>
          <w:i/>
          <w:iCs/>
          <w:color w:val="0070C0"/>
          <w:sz w:val="24"/>
          <w:szCs w:val="24"/>
        </w:rPr>
        <w:t>“Amount of United States dollars committed to public-private partnerships in Infrastructure</w:t>
      </w:r>
      <w:r>
        <w:rPr>
          <w:rFonts w:ascii="Times New Roman" w:hAnsi="Times New Roman"/>
          <w:color w:val="0070C0"/>
          <w:sz w:val="24"/>
          <w:szCs w:val="24"/>
        </w:rPr>
        <w:t>.”</w:t>
      </w:r>
    </w:p>
    <w:p w14:paraId="25E4354C" w14:textId="77777777" w:rsidR="00524F84" w:rsidRDefault="00524F84" w:rsidP="00524F84">
      <w:pPr>
        <w:jc w:val="both"/>
        <w:rPr>
          <w:rFonts w:ascii="Times New Roman" w:hAnsi="Times New Roman"/>
          <w:b/>
          <w:bCs/>
          <w:i/>
          <w:iCs/>
          <w:color w:val="000000"/>
          <w:sz w:val="24"/>
          <w:szCs w:val="24"/>
        </w:rPr>
      </w:pPr>
      <w:r>
        <w:rPr>
          <w:rFonts w:ascii="Times New Roman" w:hAnsi="Times New Roman"/>
          <w:sz w:val="24"/>
          <w:szCs w:val="24"/>
        </w:rPr>
        <w:t xml:space="preserve">The proposed indicator by the World Bank Group defines the term Public-Private Partnership (PPPs) as </w:t>
      </w:r>
      <w:r>
        <w:rPr>
          <w:rFonts w:ascii="Times New Roman" w:hAnsi="Times New Roman"/>
          <w:color w:val="000000"/>
          <w:sz w:val="24"/>
          <w:szCs w:val="24"/>
        </w:rPr>
        <w:t>“</w:t>
      </w:r>
      <w:r>
        <w:rPr>
          <w:rFonts w:ascii="Times New Roman" w:hAnsi="Times New Roman"/>
          <w:i/>
          <w:color w:val="000000"/>
          <w:sz w:val="24"/>
          <w:szCs w:val="24"/>
        </w:rPr>
        <w:t>any contractual arrangement between a public entity or authority and a private entity, for providing a public asset or service, in which the private party bears significant risk and management responsibility</w:t>
      </w:r>
      <w:r>
        <w:rPr>
          <w:rFonts w:ascii="Times New Roman" w:hAnsi="Times New Roman"/>
          <w:color w:val="000000"/>
          <w:sz w:val="24"/>
          <w:szCs w:val="24"/>
        </w:rPr>
        <w:t>.”</w:t>
      </w:r>
      <w:r>
        <w:rPr>
          <w:rFonts w:ascii="Times New Roman" w:hAnsi="Times New Roman"/>
          <w:b/>
          <w:bCs/>
          <w:i/>
          <w:iCs/>
          <w:color w:val="000000"/>
          <w:sz w:val="24"/>
          <w:szCs w:val="24"/>
        </w:rPr>
        <w:t xml:space="preserve"> </w:t>
      </w:r>
    </w:p>
    <w:p w14:paraId="3EDD6AF8" w14:textId="77777777" w:rsidR="00524F84" w:rsidRDefault="00524F84" w:rsidP="00524F84">
      <w:pPr>
        <w:jc w:val="both"/>
        <w:rPr>
          <w:rFonts w:ascii="Times New Roman" w:hAnsi="Times New Roman"/>
          <w:sz w:val="24"/>
          <w:szCs w:val="24"/>
        </w:rPr>
      </w:pPr>
      <w:r>
        <w:rPr>
          <w:rFonts w:ascii="Times New Roman" w:hAnsi="Times New Roman"/>
          <w:sz w:val="24"/>
          <w:szCs w:val="24"/>
        </w:rPr>
        <w:t>The term infrastructure refers to:</w:t>
      </w:r>
    </w:p>
    <w:p w14:paraId="4F5D7513"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Energy: electricity generation, transmission, and distribution, and natural gas transmission and distribution pipelines</w:t>
      </w:r>
    </w:p>
    <w:p w14:paraId="4F613098"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Information and communications technology</w:t>
      </w:r>
      <w:r>
        <w:rPr>
          <w:rStyle w:val="tgc"/>
          <w:rFonts w:ascii="Times New Roman" w:hAnsi="Times New Roman"/>
          <w:sz w:val="24"/>
          <w:szCs w:val="24"/>
          <w:lang w:val="en"/>
        </w:rPr>
        <w:t xml:space="preserve"> (</w:t>
      </w:r>
      <w:r>
        <w:rPr>
          <w:rFonts w:ascii="Times New Roman" w:hAnsi="Times New Roman"/>
          <w:sz w:val="24"/>
          <w:szCs w:val="24"/>
        </w:rPr>
        <w:t>ICT): ICT backbone infrastructure</w:t>
      </w:r>
    </w:p>
    <w:p w14:paraId="5E921720"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Transport: Airports, railways, ports, and roads.</w:t>
      </w:r>
    </w:p>
    <w:p w14:paraId="258E13A6"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Water: potable water treatment and distribution, and sewerage collection and treatment.</w:t>
      </w:r>
    </w:p>
    <w:p w14:paraId="569485CB" w14:textId="77777777" w:rsidR="00524F84" w:rsidRPr="00573631" w:rsidRDefault="00524F84" w:rsidP="00524F84">
      <w:pPr>
        <w:shd w:val="clear" w:color="auto" w:fill="FFFFFF"/>
        <w:spacing w:after="0"/>
        <w:rPr>
          <w:rFonts w:eastAsia="Times New Roman" w:cs="Times New Roman"/>
          <w:color w:val="4A4A4A"/>
          <w:sz w:val="21"/>
          <w:szCs w:val="21"/>
          <w:lang w:eastAsia="en-GB"/>
        </w:rPr>
      </w:pPr>
    </w:p>
    <w:p w14:paraId="5EB5B183"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44B569D5" w14:textId="77777777" w:rsidR="00524F84" w:rsidRPr="00573631" w:rsidRDefault="00524F84" w:rsidP="00524F8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infrastructure gaps </w:t>
      </w:r>
      <w:proofErr w:type="gramStart"/>
      <w:r>
        <w:rPr>
          <w:rFonts w:eastAsia="Times New Roman" w:cs="Times New Roman"/>
          <w:color w:val="4A4A4A"/>
          <w:sz w:val="21"/>
          <w:szCs w:val="21"/>
          <w:lang w:eastAsia="en-GB"/>
        </w:rPr>
        <w:t>is</w:t>
      </w:r>
      <w:proofErr w:type="gramEnd"/>
      <w:r>
        <w:rPr>
          <w:rFonts w:eastAsia="Times New Roman" w:cs="Times New Roman"/>
          <w:color w:val="4A4A4A"/>
          <w:sz w:val="21"/>
          <w:szCs w:val="21"/>
          <w:lang w:eastAsia="en-GB"/>
        </w:rPr>
        <w:t xml:space="preserve"> significant and it would require to increase private sector financing. The rationale behind the indicator is to measure the changes in the volume of public private partnerships in infrastructure and assess trends and identify constraints for private sector participation.</w:t>
      </w:r>
    </w:p>
    <w:p w14:paraId="60152BC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73E1D4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421E2095" w14:textId="77777777" w:rsidR="00524F84" w:rsidRDefault="00524F84" w:rsidP="00524F84">
      <w:pPr>
        <w:jc w:val="both"/>
        <w:rPr>
          <w:rFonts w:ascii="Times New Roman" w:hAnsi="Times New Roman"/>
          <w:b/>
          <w:bCs/>
          <w:i/>
          <w:iCs/>
          <w:color w:val="000000"/>
          <w:sz w:val="24"/>
          <w:szCs w:val="24"/>
        </w:rPr>
      </w:pPr>
      <w:r>
        <w:rPr>
          <w:rFonts w:ascii="Times New Roman" w:hAnsi="Times New Roman"/>
          <w:sz w:val="24"/>
          <w:szCs w:val="24"/>
        </w:rPr>
        <w:t xml:space="preserve">PPPs is defined as </w:t>
      </w:r>
      <w:r>
        <w:rPr>
          <w:rFonts w:ascii="Times New Roman" w:hAnsi="Times New Roman"/>
          <w:color w:val="000000"/>
          <w:sz w:val="24"/>
          <w:szCs w:val="24"/>
        </w:rPr>
        <w:t>“</w:t>
      </w:r>
      <w:r>
        <w:rPr>
          <w:rFonts w:ascii="Times New Roman" w:hAnsi="Times New Roman"/>
          <w:i/>
          <w:color w:val="000000"/>
          <w:sz w:val="24"/>
          <w:szCs w:val="24"/>
        </w:rPr>
        <w:t>any contractual arrangement between a public entity or authority and a private entity, for providing a public asset or service, in which the private party bears significant risk and management responsibility</w:t>
      </w:r>
      <w:r>
        <w:rPr>
          <w:rFonts w:ascii="Times New Roman" w:hAnsi="Times New Roman"/>
          <w:color w:val="000000"/>
          <w:sz w:val="24"/>
          <w:szCs w:val="24"/>
        </w:rPr>
        <w:t>.”</w:t>
      </w:r>
      <w:r>
        <w:rPr>
          <w:rFonts w:ascii="Times New Roman" w:hAnsi="Times New Roman"/>
          <w:b/>
          <w:bCs/>
          <w:i/>
          <w:iCs/>
          <w:color w:val="000000"/>
          <w:sz w:val="24"/>
          <w:szCs w:val="24"/>
        </w:rPr>
        <w:t xml:space="preserve"> </w:t>
      </w:r>
    </w:p>
    <w:p w14:paraId="18D4DC35" w14:textId="77777777" w:rsidR="00524F84" w:rsidRDefault="00524F84" w:rsidP="00524F84">
      <w:pPr>
        <w:jc w:val="both"/>
        <w:rPr>
          <w:rFonts w:ascii="Times New Roman" w:hAnsi="Times New Roman"/>
          <w:sz w:val="24"/>
          <w:szCs w:val="24"/>
        </w:rPr>
      </w:pPr>
      <w:r>
        <w:rPr>
          <w:rFonts w:ascii="Times New Roman" w:hAnsi="Times New Roman"/>
          <w:sz w:val="24"/>
          <w:szCs w:val="24"/>
        </w:rPr>
        <w:t>The term infrastructure refers to:</w:t>
      </w:r>
    </w:p>
    <w:p w14:paraId="39109C32"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Energy: electricity generation, transmission, and distribution, and natural gas transmission and distribution pipelines</w:t>
      </w:r>
    </w:p>
    <w:p w14:paraId="4D44F3D1"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Information and communications technology</w:t>
      </w:r>
      <w:r>
        <w:rPr>
          <w:rStyle w:val="tgc"/>
          <w:rFonts w:ascii="Times New Roman" w:hAnsi="Times New Roman"/>
          <w:sz w:val="24"/>
          <w:szCs w:val="24"/>
          <w:lang w:val="en"/>
        </w:rPr>
        <w:t xml:space="preserve"> (</w:t>
      </w:r>
      <w:r>
        <w:rPr>
          <w:rFonts w:ascii="Times New Roman" w:hAnsi="Times New Roman"/>
          <w:sz w:val="24"/>
          <w:szCs w:val="24"/>
        </w:rPr>
        <w:t>ICT): ICT backbone infrastructure</w:t>
      </w:r>
    </w:p>
    <w:p w14:paraId="694A87F8"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Transport: Airports, railways, ports, and roads.</w:t>
      </w:r>
    </w:p>
    <w:p w14:paraId="6B4F1646" w14:textId="77777777" w:rsidR="00524F84" w:rsidRDefault="00524F84" w:rsidP="00524F84">
      <w:pPr>
        <w:numPr>
          <w:ilvl w:val="0"/>
          <w:numId w:val="5"/>
        </w:numPr>
        <w:overflowPunct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Water: potable water treatment and distribution, and sewerage collection and treatment.</w:t>
      </w:r>
    </w:p>
    <w:p w14:paraId="54166BD2" w14:textId="77777777" w:rsidR="00524F84" w:rsidRDefault="00524F84" w:rsidP="00524F84">
      <w:pPr>
        <w:shd w:val="clear" w:color="auto" w:fill="FFFFFF"/>
        <w:spacing w:after="0"/>
        <w:rPr>
          <w:rFonts w:eastAsia="Times New Roman" w:cs="Times New Roman"/>
          <w:color w:val="4A4A4A"/>
          <w:sz w:val="21"/>
          <w:szCs w:val="21"/>
          <w:lang w:eastAsia="en-GB"/>
        </w:rPr>
      </w:pPr>
    </w:p>
    <w:p w14:paraId="6750E3E1" w14:textId="77777777" w:rsidR="00803CF1" w:rsidRDefault="00803CF1" w:rsidP="00573631">
      <w:pPr>
        <w:shd w:val="clear" w:color="auto" w:fill="FFFFFF"/>
        <w:spacing w:after="0"/>
        <w:rPr>
          <w:rFonts w:eastAsia="Times New Roman" w:cs="Times New Roman"/>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5121A8EA" w14:textId="77777777" w:rsidR="00524F84" w:rsidRDefault="00524F84" w:rsidP="00524F84">
      <w:pPr>
        <w:jc w:val="both"/>
        <w:rPr>
          <w:rFonts w:ascii="Times New Roman" w:hAnsi="Times New Roman"/>
          <w:sz w:val="24"/>
          <w:szCs w:val="24"/>
        </w:rPr>
      </w:pPr>
      <w:r>
        <w:rPr>
          <w:rFonts w:ascii="Times New Roman" w:hAnsi="Times New Roman"/>
          <w:sz w:val="24"/>
          <w:szCs w:val="24"/>
        </w:rPr>
        <w:t xml:space="preserve">The limitations of the proposed indicator </w:t>
      </w:r>
      <w:proofErr w:type="gramStart"/>
      <w:r>
        <w:rPr>
          <w:rFonts w:ascii="Times New Roman" w:hAnsi="Times New Roman"/>
          <w:sz w:val="24"/>
          <w:szCs w:val="24"/>
        </w:rPr>
        <w:t>is</w:t>
      </w:r>
      <w:proofErr w:type="gramEnd"/>
      <w:r>
        <w:rPr>
          <w:rFonts w:ascii="Times New Roman" w:hAnsi="Times New Roman"/>
          <w:sz w:val="24"/>
          <w:szCs w:val="24"/>
        </w:rPr>
        <w:t xml:space="preserve"> that it does not account for other sectors such as education and health may account for a significant part of PPPs but they are not captured by the database. Expanding the data to include PPPs in other sector beyond infrastructure is something that the World Bank is considering but it is currently limited by budget constraints.</w:t>
      </w:r>
    </w:p>
    <w:p w14:paraId="1359F061" w14:textId="77777777" w:rsidR="00524F84" w:rsidRDefault="00524F84" w:rsidP="00524F84">
      <w:pPr>
        <w:jc w:val="both"/>
        <w:rPr>
          <w:rFonts w:ascii="Times New Roman" w:hAnsi="Times New Roman"/>
          <w:sz w:val="24"/>
          <w:szCs w:val="24"/>
        </w:rPr>
      </w:pPr>
      <w:r>
        <w:rPr>
          <w:rFonts w:ascii="Times New Roman" w:hAnsi="Times New Roman"/>
          <w:sz w:val="24"/>
          <w:szCs w:val="24"/>
        </w:rPr>
        <w:t>Unfortunately, PPI database does not collect data on civil society partnerships and this will not fit the currently methodology of data gathering and is outside the present work’s scope.</w:t>
      </w:r>
    </w:p>
    <w:p w14:paraId="7C6764C5" w14:textId="77777777" w:rsidR="00524F84" w:rsidRPr="00573631" w:rsidRDefault="00524F84" w:rsidP="00524F84">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294883FD" w14:textId="77777777" w:rsidR="00524F84" w:rsidRDefault="00524F84" w:rsidP="00524F84">
      <w:pPr>
        <w:jc w:val="both"/>
        <w:rPr>
          <w:rStyle w:val="Hyperlink"/>
          <w:rFonts w:ascii="Times New Roman" w:hAnsi="Times New Roman"/>
          <w:sz w:val="24"/>
          <w:szCs w:val="24"/>
        </w:rPr>
      </w:pPr>
      <w:r>
        <w:rPr>
          <w:rFonts w:ascii="Times New Roman" w:hAnsi="Times New Roman"/>
          <w:sz w:val="24"/>
          <w:szCs w:val="24"/>
        </w:rPr>
        <w:t xml:space="preserve">The indicator has </w:t>
      </w:r>
      <w:proofErr w:type="spellStart"/>
      <w:r>
        <w:rPr>
          <w:rFonts w:ascii="Times New Roman" w:hAnsi="Times New Roman"/>
          <w:sz w:val="24"/>
          <w:szCs w:val="24"/>
        </w:rPr>
        <w:t>a</w:t>
      </w:r>
      <w:proofErr w:type="spellEnd"/>
      <w:r>
        <w:rPr>
          <w:rFonts w:ascii="Times New Roman" w:hAnsi="Times New Roman"/>
          <w:sz w:val="24"/>
          <w:szCs w:val="24"/>
        </w:rPr>
        <w:t xml:space="preserve"> established methodology that is available at the website </w:t>
      </w:r>
      <w:hyperlink r:id="rId10" w:history="1">
        <w:r>
          <w:rPr>
            <w:rStyle w:val="Hyperlink"/>
            <w:rFonts w:ascii="Times New Roman" w:hAnsi="Times New Roman"/>
            <w:sz w:val="24"/>
            <w:szCs w:val="24"/>
          </w:rPr>
          <w:t>http://ppi.worldbank.org/methodology/ppi-methodology</w:t>
        </w:r>
      </w:hyperlink>
      <w:r>
        <w:rPr>
          <w:rStyle w:val="Hyperlink"/>
          <w:rFonts w:ascii="Times New Roman" w:hAnsi="Times New Roman"/>
          <w:sz w:val="24"/>
          <w:szCs w:val="24"/>
        </w:rPr>
        <w:t xml:space="preserve"> and the data collection process is as follows:</w:t>
      </w:r>
    </w:p>
    <w:p w14:paraId="5DFC4A57" w14:textId="77777777" w:rsidR="00524F84" w:rsidRDefault="00524F84" w:rsidP="00524F84">
      <w:pPr>
        <w:numPr>
          <w:ilvl w:val="0"/>
          <w:numId w:val="6"/>
        </w:numPr>
        <w:spacing w:before="100" w:beforeAutospacing="1" w:after="100" w:afterAutospacing="1" w:line="330" w:lineRule="atLeast"/>
        <w:jc w:val="both"/>
      </w:pPr>
      <w:r>
        <w:rPr>
          <w:rFonts w:ascii="Times New Roman" w:hAnsi="Times New Roman"/>
          <w:sz w:val="24"/>
          <w:szCs w:val="24"/>
        </w:rPr>
        <w:t xml:space="preserve">Team of researcher gather data for each of the regions using public sources (from government and MDBs websites); commercial news databases ( such as </w:t>
      </w:r>
      <w:r>
        <w:rPr>
          <w:rFonts w:ascii="Times New Roman" w:eastAsia="Times New Roman" w:hAnsi="Times New Roman"/>
          <w:sz w:val="24"/>
          <w:szCs w:val="24"/>
        </w:rPr>
        <w:t>Factiva, Business News America, ISI Emerging markets, and the Economist Intelligence Unit’s databases)</w:t>
      </w:r>
      <w:r>
        <w:rPr>
          <w:rFonts w:ascii="Times New Roman" w:hAnsi="Times New Roman"/>
          <w:sz w:val="24"/>
          <w:szCs w:val="24"/>
        </w:rPr>
        <w:t xml:space="preserve"> as well as from commercial specialized and industry publications/subscriptions (</w:t>
      </w:r>
      <w:r>
        <w:rPr>
          <w:rFonts w:ascii="Times New Roman" w:eastAsia="Times New Roman" w:hAnsi="Times New Roman"/>
          <w:sz w:val="24"/>
          <w:szCs w:val="24"/>
        </w:rPr>
        <w:t xml:space="preserve">Thomson </w:t>
      </w:r>
      <w:proofErr w:type="spellStart"/>
      <w:r>
        <w:rPr>
          <w:rFonts w:ascii="Times New Roman" w:eastAsia="Times New Roman" w:hAnsi="Times New Roman"/>
          <w:sz w:val="24"/>
          <w:szCs w:val="24"/>
        </w:rPr>
        <w:t>Financial’s</w:t>
      </w:r>
      <w:proofErr w:type="spellEnd"/>
      <w:r>
        <w:rPr>
          <w:rFonts w:ascii="Times New Roman" w:eastAsia="Times New Roman" w:hAnsi="Times New Roman"/>
          <w:sz w:val="24"/>
          <w:szCs w:val="24"/>
        </w:rPr>
        <w:t xml:space="preserve"> Project Finance International, Euromoney’s Project Finance, Media Analytics’ Global Water Intelligence, </w:t>
      </w:r>
      <w:proofErr w:type="spellStart"/>
      <w:r>
        <w:rPr>
          <w:rFonts w:ascii="Times New Roman" w:eastAsia="Times New Roman" w:hAnsi="Times New Roman"/>
          <w:sz w:val="24"/>
          <w:szCs w:val="24"/>
        </w:rPr>
        <w:t>Pisent</w:t>
      </w:r>
      <w:proofErr w:type="spellEnd"/>
      <w:r>
        <w:rPr>
          <w:rFonts w:ascii="Times New Roman" w:eastAsia="Times New Roman" w:hAnsi="Times New Roman"/>
          <w:sz w:val="24"/>
          <w:szCs w:val="24"/>
        </w:rPr>
        <w:t xml:space="preserve"> Masons’ Water Yearbooks, and Platt’s Power </w:t>
      </w:r>
      <w:r>
        <w:rPr>
          <w:rFonts w:ascii="Times New Roman" w:hAnsi="Times New Roman"/>
          <w:sz w:val="24"/>
          <w:szCs w:val="24"/>
        </w:rPr>
        <w:t xml:space="preserve">in Asia, etc.), specialist portal (such as Privatization, </w:t>
      </w:r>
      <w:proofErr w:type="spellStart"/>
      <w:r>
        <w:rPr>
          <w:rFonts w:ascii="Times New Roman" w:hAnsi="Times New Roman"/>
          <w:sz w:val="24"/>
          <w:szCs w:val="24"/>
        </w:rPr>
        <w:t>IPAnet</w:t>
      </w:r>
      <w:proofErr w:type="spellEnd"/>
      <w:r>
        <w:rPr>
          <w:rFonts w:ascii="Times New Roman" w:hAnsi="Times New Roman"/>
          <w:sz w:val="24"/>
          <w:szCs w:val="24"/>
        </w:rPr>
        <w:t>, and Privatization Barometer), Internet resources (such as web sites of project companies, privatization or PPP agencies, and regulatory agencies) sponsor information (primarily through their Web sites, annual reports, press releases, and financial reports such as 10K and 20F forms submitted to the NYSE) and multilateral development agencies primarily through information on their Websites, annual reports, and other studies.</w:t>
      </w:r>
    </w:p>
    <w:p w14:paraId="32BCC5BF" w14:textId="593ED0DE" w:rsidR="00524F84" w:rsidRDefault="00524F84" w:rsidP="00524F84">
      <w:pPr>
        <w:pStyle w:val="ListParagraph"/>
        <w:numPr>
          <w:ilvl w:val="0"/>
          <w:numId w:val="6"/>
        </w:numPr>
        <w:spacing w:after="0" w:line="240" w:lineRule="auto"/>
        <w:jc w:val="both"/>
        <w:rPr>
          <w:rFonts w:ascii="Times New Roman" w:hAnsi="Times New Roman"/>
          <w:sz w:val="24"/>
          <w:szCs w:val="24"/>
        </w:rPr>
      </w:pPr>
      <w:r>
        <w:rPr>
          <w:rFonts w:ascii="Times New Roman" w:hAnsi="Times New Roman"/>
          <w:sz w:val="24"/>
          <w:szCs w:val="24"/>
        </w:rPr>
        <w:lastRenderedPageBreak/>
        <w:t>Data is uploaded to an administrative website through a template to make sure data is standardized.</w:t>
      </w:r>
    </w:p>
    <w:p w14:paraId="74BD0883" w14:textId="77777777" w:rsidR="00524F84" w:rsidRDefault="00524F84" w:rsidP="00524F84">
      <w:pPr>
        <w:pStyle w:val="ListParagraph"/>
        <w:numPr>
          <w:ilvl w:val="0"/>
          <w:numId w:val="6"/>
        </w:numPr>
        <w:spacing w:after="0" w:line="240" w:lineRule="auto"/>
        <w:jc w:val="both"/>
        <w:rPr>
          <w:rFonts w:ascii="Times New Roman" w:hAnsi="Times New Roman"/>
          <w:sz w:val="24"/>
          <w:szCs w:val="24"/>
        </w:rPr>
      </w:pPr>
      <w:r>
        <w:rPr>
          <w:rFonts w:ascii="Times New Roman" w:hAnsi="Times New Roman"/>
          <w:sz w:val="24"/>
          <w:szCs w:val="24"/>
        </w:rPr>
        <w:t>Data is validated by a group of experts in Singapore.</w:t>
      </w:r>
    </w:p>
    <w:p w14:paraId="12FC769D" w14:textId="77777777" w:rsidR="00524F84" w:rsidRDefault="00524F84" w:rsidP="00524F84">
      <w:pPr>
        <w:pStyle w:val="ListParagraph"/>
        <w:numPr>
          <w:ilvl w:val="0"/>
          <w:numId w:val="6"/>
        </w:numPr>
        <w:spacing w:after="0" w:line="240" w:lineRule="auto"/>
        <w:jc w:val="both"/>
        <w:rPr>
          <w:rFonts w:ascii="Times New Roman" w:hAnsi="Times New Roman"/>
          <w:sz w:val="24"/>
          <w:szCs w:val="24"/>
        </w:rPr>
      </w:pPr>
      <w:r>
        <w:rPr>
          <w:rFonts w:ascii="Times New Roman" w:hAnsi="Times New Roman"/>
          <w:sz w:val="24"/>
          <w:szCs w:val="24"/>
        </w:rPr>
        <w:t>Data is later uploaded to the public website (www.ppi.worldbank.org) and make it available free of charge.</w:t>
      </w:r>
    </w:p>
    <w:p w14:paraId="7A5F2399" w14:textId="77777777" w:rsidR="00524F84" w:rsidRDefault="00524F84" w:rsidP="00524F84">
      <w:pPr>
        <w:jc w:val="both"/>
        <w:rPr>
          <w:rFonts w:ascii="Times New Roman" w:hAnsi="Times New Roman"/>
          <w:sz w:val="24"/>
          <w:szCs w:val="24"/>
        </w:rPr>
      </w:pPr>
      <w:r>
        <w:rPr>
          <w:rFonts w:ascii="Times New Roman" w:hAnsi="Times New Roman"/>
          <w:sz w:val="24"/>
          <w:szCs w:val="24"/>
        </w:rPr>
        <w:t xml:space="preserve">The limitations of the proposed indicator </w:t>
      </w:r>
      <w:proofErr w:type="gramStart"/>
      <w:r>
        <w:rPr>
          <w:rFonts w:ascii="Times New Roman" w:hAnsi="Times New Roman"/>
          <w:sz w:val="24"/>
          <w:szCs w:val="24"/>
        </w:rPr>
        <w:t>is</w:t>
      </w:r>
      <w:proofErr w:type="gramEnd"/>
      <w:r>
        <w:rPr>
          <w:rFonts w:ascii="Times New Roman" w:hAnsi="Times New Roman"/>
          <w:sz w:val="24"/>
          <w:szCs w:val="24"/>
        </w:rPr>
        <w:t xml:space="preserve"> that it does not account for other sectors such as education and health may account for a significant part of PPPs but they are not captured by the database. Expanding the data to include PPPs in other sector beyond infrastructure is something that the World Bank is considering but it is currently limited by budget constraints.</w:t>
      </w:r>
    </w:p>
    <w:p w14:paraId="2EE5981F" w14:textId="77777777" w:rsidR="00524F84" w:rsidRDefault="00524F84" w:rsidP="00524F84">
      <w:pPr>
        <w:jc w:val="both"/>
        <w:rPr>
          <w:rFonts w:ascii="Times New Roman" w:hAnsi="Times New Roman"/>
          <w:sz w:val="24"/>
          <w:szCs w:val="24"/>
        </w:rPr>
      </w:pPr>
      <w:r>
        <w:rPr>
          <w:rFonts w:ascii="Times New Roman" w:hAnsi="Times New Roman"/>
          <w:sz w:val="24"/>
          <w:szCs w:val="24"/>
        </w:rPr>
        <w:t>Unfortunately, PPI database does not collect data on civil society partnerships and this will not fit the currently methodology of data gathering and is outside the present work’s scope.</w:t>
      </w:r>
    </w:p>
    <w:p w14:paraId="3909BAB3" w14:textId="77777777" w:rsidR="00524F84" w:rsidRPr="00573631" w:rsidRDefault="00524F84" w:rsidP="00524F84">
      <w:pPr>
        <w:shd w:val="clear" w:color="auto" w:fill="FFFFFF"/>
        <w:spacing w:after="0"/>
        <w:rPr>
          <w:rFonts w:eastAsia="Times New Roman" w:cs="Times New Roman"/>
          <w:color w:val="4A4A4A"/>
          <w:sz w:val="21"/>
          <w:szCs w:val="21"/>
          <w:lang w:eastAsia="en-GB"/>
        </w:rPr>
      </w:pPr>
    </w:p>
    <w:p w14:paraId="59DFAB57" w14:textId="77777777" w:rsidR="00524F84" w:rsidRDefault="00524F84" w:rsidP="00524F84">
      <w:pPr>
        <w:pStyle w:val="ListParagraph"/>
        <w:spacing w:after="0" w:line="240" w:lineRule="auto"/>
        <w:ind w:left="360"/>
        <w:jc w:val="both"/>
        <w:rPr>
          <w:rFonts w:ascii="Times New Roman" w:hAnsi="Times New Roman"/>
          <w:sz w:val="24"/>
          <w:szCs w:val="24"/>
        </w:rPr>
      </w:pPr>
    </w:p>
    <w:p w14:paraId="12E6A004"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163D5D0B" w14:textId="4B2728D7" w:rsidR="00524F84" w:rsidRDefault="00524F84" w:rsidP="00524F8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unit of analysis is the PPP project; therefore, data can be disaggregated at the project level. There is data on sector and subsector as well as geographical location of the project at the subnational level and therefore it can be later aggregated by municipality, provi</w:t>
      </w:r>
      <w:r>
        <w:rPr>
          <w:rFonts w:eastAsia="Times New Roman" w:cs="Times New Roman"/>
          <w:color w:val="4A4A4A"/>
          <w:sz w:val="21"/>
          <w:szCs w:val="21"/>
          <w:lang w:eastAsia="en-GB"/>
        </w:rPr>
        <w:t>n</w:t>
      </w:r>
      <w:r>
        <w:rPr>
          <w:rFonts w:eastAsia="Times New Roman" w:cs="Times New Roman"/>
          <w:color w:val="4A4A4A"/>
          <w:sz w:val="21"/>
          <w:szCs w:val="21"/>
          <w:lang w:eastAsia="en-GB"/>
        </w:rPr>
        <w:t>ce, country or region.</w:t>
      </w:r>
    </w:p>
    <w:p w14:paraId="73D14641"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7972A596"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7747AEDA" w14:textId="77777777" w:rsidR="00524F84" w:rsidRPr="00573631" w:rsidRDefault="00524F84" w:rsidP="00524F84">
      <w:pPr>
        <w:shd w:val="clear" w:color="auto" w:fill="FFFFFF"/>
        <w:spacing w:after="0"/>
        <w:rPr>
          <w:rFonts w:eastAsia="Times New Roman" w:cs="Times New Roman"/>
          <w:color w:val="4A4A4A"/>
          <w:sz w:val="21"/>
          <w:szCs w:val="21"/>
          <w:lang w:eastAsia="en-GB"/>
        </w:rPr>
      </w:pPr>
    </w:p>
    <w:p w14:paraId="140BE8D2" w14:textId="77777777" w:rsidR="00524F84" w:rsidRPr="00573631" w:rsidRDefault="00524F84" w:rsidP="00524F84">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27EF6B13" w14:textId="77777777" w:rsidR="00524F84" w:rsidRPr="00A61D74" w:rsidRDefault="00524F84" w:rsidP="00524F8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is collected semi-annually for all emerging markets and development economies. When there are no PPP projects in a country, the data shows a value of zero investments. If there is information of a project in a country but the information on investments is not available, then it is reported as missing value.  No imputations are performed for missing values.</w:t>
      </w:r>
    </w:p>
    <w:p w14:paraId="26EB86E1" w14:textId="77777777" w:rsidR="00524F84" w:rsidRPr="00573631" w:rsidRDefault="00524F84" w:rsidP="00524F84">
      <w:pPr>
        <w:shd w:val="clear" w:color="auto" w:fill="FFFFFF"/>
        <w:spacing w:after="0"/>
        <w:ind w:left="495"/>
        <w:rPr>
          <w:rFonts w:eastAsia="Times New Roman" w:cs="Times New Roman"/>
          <w:color w:val="4A4A4A"/>
          <w:sz w:val="21"/>
          <w:szCs w:val="21"/>
          <w:lang w:eastAsia="en-GB"/>
        </w:rPr>
      </w:pPr>
    </w:p>
    <w:p w14:paraId="34A22A73" w14:textId="77777777" w:rsidR="00524F84" w:rsidRPr="00573631" w:rsidRDefault="00524F84" w:rsidP="00524F84">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4C4346E8" w14:textId="77777777" w:rsidR="00524F84" w:rsidRPr="00573631" w:rsidRDefault="00524F84" w:rsidP="00524F84">
      <w:pPr>
        <w:shd w:val="clear" w:color="auto" w:fill="FFFFFF"/>
        <w:spacing w:after="0"/>
        <w:ind w:left="135"/>
        <w:rPr>
          <w:rFonts w:eastAsia="Times New Roman" w:cs="Times New Roman"/>
          <w:color w:val="4A4A4A"/>
          <w:sz w:val="21"/>
          <w:szCs w:val="21"/>
          <w:lang w:eastAsia="en-GB"/>
        </w:rPr>
      </w:pPr>
      <w:r>
        <w:rPr>
          <w:rFonts w:eastAsia="Times New Roman" w:cs="Times New Roman"/>
          <w:color w:val="4A4A4A"/>
          <w:sz w:val="21"/>
          <w:szCs w:val="21"/>
          <w:lang w:eastAsia="en-GB"/>
        </w:rPr>
        <w:t xml:space="preserve">No imputations are carried out for missing values in the database. </w:t>
      </w:r>
    </w:p>
    <w:p w14:paraId="4C0416E9" w14:textId="77777777" w:rsidR="00524F84" w:rsidRPr="00573631" w:rsidRDefault="00524F84" w:rsidP="00524F84">
      <w:pPr>
        <w:shd w:val="clear" w:color="auto" w:fill="FFFFFF"/>
        <w:spacing w:after="0"/>
        <w:ind w:left="495"/>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2FB18478" w14:textId="77777777" w:rsidR="00524F84" w:rsidRPr="00573631" w:rsidRDefault="00524F84" w:rsidP="00524F8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Regional and global aggregates are calculated by adding investment values of all countries in that region or globally without any weight assigned. The only adjustment that the data does is to account only once cross border projects, i.e. projects that involve more than one country and therefore have a unique project investment value. Cross border projects are counted for each country when data is presented at country level but only once when data is aggregated at regional or global level.</w:t>
      </w:r>
    </w:p>
    <w:p w14:paraId="5673AFA9"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065BD225" w14:textId="77777777" w:rsidR="00524F84" w:rsidRDefault="00524F84" w:rsidP="00524F8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To our knowledge, countries do not produce estimates of this indicator. Some PPP units in very few countries have data available in their website but it is neither presented in a cross- country comparable approach nor annually reported.</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329EB3B1" w14:textId="77777777" w:rsidR="00524F84" w:rsidRPr="00B8087E" w:rsidRDefault="00524F84" w:rsidP="00524F84">
      <w:pPr>
        <w:pStyle w:val="ListParagraph"/>
        <w:numPr>
          <w:ilvl w:val="0"/>
          <w:numId w:val="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Currently countries do not compile this indicator. </w:t>
      </w:r>
      <w:proofErr w:type="gramStart"/>
      <w:r>
        <w:rPr>
          <w:rFonts w:eastAsia="Times New Roman" w:cs="Times New Roman"/>
          <w:color w:val="4A4A4A"/>
          <w:sz w:val="21"/>
          <w:szCs w:val="21"/>
          <w:lang w:eastAsia="en-GB"/>
        </w:rPr>
        <w:t>However</w:t>
      </w:r>
      <w:proofErr w:type="gramEnd"/>
      <w:r>
        <w:rPr>
          <w:rFonts w:eastAsia="Times New Roman" w:cs="Times New Roman"/>
          <w:color w:val="4A4A4A"/>
          <w:sz w:val="21"/>
          <w:szCs w:val="21"/>
          <w:lang w:eastAsia="en-GB"/>
        </w:rPr>
        <w:t xml:space="preserve"> methodology for the PPI database can be used by any country to provide information on the PPP projects that reached financial closure a particular year, or they could validate the list of projects provided by the PPI database.</w:t>
      </w:r>
    </w:p>
    <w:p w14:paraId="0D605336" w14:textId="77777777" w:rsidR="00524F84" w:rsidRDefault="00524F84" w:rsidP="00524F84">
      <w:pPr>
        <w:shd w:val="clear" w:color="auto" w:fill="FFFFFF"/>
        <w:spacing w:after="0"/>
        <w:rPr>
          <w:rFonts w:eastAsia="Times New Roman" w:cs="Times New Roman"/>
          <w:color w:val="4A4A4A"/>
          <w:sz w:val="21"/>
          <w:szCs w:val="21"/>
          <w:highlight w:val="yellow"/>
          <w:lang w:eastAsia="en-GB"/>
        </w:rPr>
      </w:pPr>
    </w:p>
    <w:p w14:paraId="43650427" w14:textId="77777777" w:rsidR="00524F84" w:rsidRDefault="00524F84" w:rsidP="00524F84">
      <w:pPr>
        <w:shd w:val="clear" w:color="auto" w:fill="FFFFFF"/>
        <w:spacing w:after="0"/>
        <w:rPr>
          <w:color w:val="4A86E8"/>
          <w:sz w:val="20"/>
          <w:szCs w:val="20"/>
        </w:rPr>
      </w:pPr>
    </w:p>
    <w:p w14:paraId="155D153A" w14:textId="77777777" w:rsidR="00524F84" w:rsidRPr="00D54F29" w:rsidRDefault="00524F84" w:rsidP="00524F84">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2F04095E" w14:textId="77777777" w:rsidR="00524F84" w:rsidRDefault="00524F84" w:rsidP="00524F84">
      <w:pPr>
        <w:pStyle w:val="ListParagraph"/>
        <w:numPr>
          <w:ilvl w:val="0"/>
          <w:numId w:val="4"/>
        </w:numPr>
        <w:shd w:val="clear" w:color="auto" w:fill="FFFFFF"/>
        <w:spacing w:after="0"/>
        <w:rPr>
          <w:rFonts w:eastAsia="Times New Roman" w:cs="Times New Roman"/>
          <w:color w:val="4A4A4A"/>
          <w:sz w:val="21"/>
          <w:szCs w:val="21"/>
        </w:rPr>
      </w:pPr>
      <w:r>
        <w:rPr>
          <w:rFonts w:eastAsia="Times New Roman" w:cs="Times New Roman"/>
          <w:color w:val="4A4A4A"/>
          <w:sz w:val="21"/>
          <w:szCs w:val="21"/>
          <w:lang w:eastAsia="en-GB"/>
        </w:rPr>
        <w:t>The semi-annual list of projects goes through an extensive quality control process first by the PPI database team, then by the Infrastructure, PPPs and Guarantees group at the World Bank and finally it is shared for comment to all World Bank Group including focal points in IFC and MIGA.  In addition, when data is released public ally, any project can be challenged in the website and therefore data will be reassessed and corrected if necessary.</w:t>
      </w:r>
    </w:p>
    <w:p w14:paraId="48E836EF" w14:textId="77777777" w:rsidR="00524F84" w:rsidRPr="00B8087E" w:rsidRDefault="00524F84" w:rsidP="00524F84">
      <w:pPr>
        <w:pStyle w:val="ListParagraph"/>
        <w:numPr>
          <w:ilvl w:val="0"/>
          <w:numId w:val="4"/>
        </w:numPr>
        <w:shd w:val="clear" w:color="auto" w:fill="FFFFFF"/>
        <w:spacing w:after="0"/>
        <w:rPr>
          <w:rFonts w:eastAsia="Times New Roman" w:cs="Times New Roman"/>
          <w:color w:val="4A4A4A"/>
          <w:sz w:val="21"/>
          <w:szCs w:val="21"/>
        </w:rPr>
      </w:pPr>
      <w:r>
        <w:rPr>
          <w:rFonts w:eastAsia="Times New Roman" w:cs="Times New Roman"/>
          <w:color w:val="4A4A4A"/>
          <w:sz w:val="21"/>
          <w:szCs w:val="21"/>
          <w:lang w:eastAsia="en-GB"/>
        </w:rPr>
        <w:t>No consultation project with countries on the national data is ongoing but the PPI database welcomes feedback and data contributors in the website.</w:t>
      </w:r>
    </w:p>
    <w:p w14:paraId="0F905C39" w14:textId="77777777" w:rsidR="00524F84" w:rsidRPr="00444DB2" w:rsidRDefault="00524F84" w:rsidP="00524F84">
      <w:pPr>
        <w:pStyle w:val="ListParagraph"/>
        <w:rPr>
          <w:color w:val="4A86E8"/>
          <w:sz w:val="20"/>
          <w:szCs w:val="20"/>
        </w:rPr>
      </w:pPr>
    </w:p>
    <w:p w14:paraId="302EB1AD" w14:textId="77777777" w:rsidR="00524F84" w:rsidRPr="009C78E4" w:rsidRDefault="00524F84" w:rsidP="00524F84">
      <w:pPr>
        <w:pStyle w:val="ListParagraph"/>
        <w:shd w:val="clear" w:color="auto" w:fill="FFFFFF"/>
        <w:spacing w:after="0"/>
        <w:rPr>
          <w:color w:val="4A86E8"/>
          <w:sz w:val="20"/>
          <w:szCs w:val="20"/>
        </w:rPr>
      </w:pP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2C054AC7" w14:textId="77777777" w:rsidR="00524F84" w:rsidRDefault="00524F84" w:rsidP="00524F84">
      <w:pPr>
        <w:jc w:val="both"/>
        <w:rPr>
          <w:rStyle w:val="Hyperlink"/>
          <w:rFonts w:ascii="Times New Roman" w:hAnsi="Times New Roman"/>
          <w:sz w:val="24"/>
          <w:szCs w:val="24"/>
        </w:rPr>
      </w:pPr>
      <w:r>
        <w:rPr>
          <w:rFonts w:ascii="Times New Roman" w:hAnsi="Times New Roman"/>
          <w:sz w:val="24"/>
          <w:szCs w:val="24"/>
        </w:rPr>
        <w:t xml:space="preserve">The indicator has </w:t>
      </w:r>
      <w:proofErr w:type="spellStart"/>
      <w:r>
        <w:rPr>
          <w:rFonts w:ascii="Times New Roman" w:hAnsi="Times New Roman"/>
          <w:sz w:val="24"/>
          <w:szCs w:val="24"/>
        </w:rPr>
        <w:t>a</w:t>
      </w:r>
      <w:proofErr w:type="spellEnd"/>
      <w:r>
        <w:rPr>
          <w:rFonts w:ascii="Times New Roman" w:hAnsi="Times New Roman"/>
          <w:sz w:val="24"/>
          <w:szCs w:val="24"/>
        </w:rPr>
        <w:t xml:space="preserve"> established methodology that is available at the website </w:t>
      </w:r>
      <w:hyperlink r:id="rId11" w:history="1">
        <w:r>
          <w:rPr>
            <w:rStyle w:val="Hyperlink"/>
            <w:rFonts w:ascii="Times New Roman" w:hAnsi="Times New Roman"/>
            <w:sz w:val="24"/>
            <w:szCs w:val="24"/>
          </w:rPr>
          <w:t>http://ppi.worldbank.org/methodology/ppi-methodology</w:t>
        </w:r>
      </w:hyperlink>
      <w:r>
        <w:rPr>
          <w:rStyle w:val="Hyperlink"/>
          <w:rFonts w:ascii="Times New Roman" w:hAnsi="Times New Roman"/>
          <w:sz w:val="24"/>
          <w:szCs w:val="24"/>
        </w:rPr>
        <w:t xml:space="preserve"> and the data collection process is as follows:</w:t>
      </w:r>
    </w:p>
    <w:p w14:paraId="621283F1" w14:textId="77777777" w:rsidR="00524F84" w:rsidRDefault="00524F84" w:rsidP="00524F84">
      <w:pPr>
        <w:numPr>
          <w:ilvl w:val="0"/>
          <w:numId w:val="6"/>
        </w:numPr>
        <w:spacing w:before="100" w:beforeAutospacing="1" w:after="100" w:afterAutospacing="1" w:line="330" w:lineRule="atLeast"/>
        <w:jc w:val="both"/>
      </w:pPr>
      <w:r>
        <w:rPr>
          <w:rFonts w:ascii="Times New Roman" w:hAnsi="Times New Roman"/>
          <w:sz w:val="24"/>
          <w:szCs w:val="24"/>
        </w:rPr>
        <w:t>Team of researcher gather data for each of the regions using public sources; commercial news databases as well as from commercial specialized and industry publications/subscriptions, specialist portal, sponsor information and multilateral development agencies.</w:t>
      </w:r>
    </w:p>
    <w:p w14:paraId="7B5C919C" w14:textId="77777777" w:rsidR="00524F84" w:rsidRDefault="00524F84" w:rsidP="00524F84">
      <w:pPr>
        <w:pStyle w:val="ListParagraph"/>
        <w:numPr>
          <w:ilvl w:val="0"/>
          <w:numId w:val="6"/>
        </w:numPr>
        <w:spacing w:after="0" w:line="240" w:lineRule="auto"/>
        <w:jc w:val="both"/>
        <w:rPr>
          <w:rFonts w:ascii="Times New Roman" w:hAnsi="Times New Roman"/>
          <w:sz w:val="24"/>
          <w:szCs w:val="24"/>
        </w:rPr>
      </w:pPr>
      <w:r>
        <w:rPr>
          <w:rFonts w:ascii="Times New Roman" w:hAnsi="Times New Roman"/>
          <w:sz w:val="24"/>
          <w:szCs w:val="24"/>
        </w:rPr>
        <w:t>Data is uploaded to an administrative website through a template to make sure data is standardized.</w:t>
      </w:r>
    </w:p>
    <w:p w14:paraId="294AFE71" w14:textId="77777777" w:rsidR="00524F84" w:rsidRDefault="00524F84" w:rsidP="00524F84">
      <w:pPr>
        <w:pStyle w:val="ListParagraph"/>
        <w:numPr>
          <w:ilvl w:val="0"/>
          <w:numId w:val="6"/>
        </w:numPr>
        <w:spacing w:after="0" w:line="240" w:lineRule="auto"/>
        <w:jc w:val="both"/>
        <w:rPr>
          <w:rFonts w:ascii="Times New Roman" w:hAnsi="Times New Roman"/>
          <w:sz w:val="24"/>
          <w:szCs w:val="24"/>
        </w:rPr>
      </w:pPr>
      <w:r>
        <w:rPr>
          <w:rFonts w:ascii="Times New Roman" w:hAnsi="Times New Roman"/>
          <w:sz w:val="24"/>
          <w:szCs w:val="24"/>
        </w:rPr>
        <w:t xml:space="preserve">Data is validated by a group of experts in Singapore first (PPI team), then for the World Bank Group focal points </w:t>
      </w:r>
      <w:proofErr w:type="gramStart"/>
      <w:r>
        <w:rPr>
          <w:rFonts w:ascii="Times New Roman" w:hAnsi="Times New Roman"/>
          <w:sz w:val="24"/>
          <w:szCs w:val="24"/>
        </w:rPr>
        <w:t>colleagues..</w:t>
      </w:r>
      <w:proofErr w:type="gramEnd"/>
    </w:p>
    <w:p w14:paraId="3D0FF6C3" w14:textId="77777777" w:rsidR="00524F84" w:rsidRDefault="00524F84" w:rsidP="00524F84">
      <w:pPr>
        <w:pStyle w:val="ListParagraph"/>
        <w:numPr>
          <w:ilvl w:val="0"/>
          <w:numId w:val="6"/>
        </w:numPr>
        <w:spacing w:after="0" w:line="240" w:lineRule="auto"/>
        <w:jc w:val="both"/>
        <w:rPr>
          <w:rFonts w:ascii="Times New Roman" w:hAnsi="Times New Roman"/>
          <w:sz w:val="24"/>
          <w:szCs w:val="24"/>
        </w:rPr>
      </w:pPr>
      <w:r>
        <w:rPr>
          <w:rFonts w:ascii="Times New Roman" w:hAnsi="Times New Roman"/>
          <w:sz w:val="24"/>
          <w:szCs w:val="24"/>
        </w:rPr>
        <w:t>Data is later uploaded to the public website (www.ppi.worldbank.org) and make it available free of charge.</w:t>
      </w:r>
    </w:p>
    <w:p w14:paraId="287A7C25" w14:textId="77777777" w:rsidR="00524F84" w:rsidRDefault="00524F84" w:rsidP="00524F84">
      <w:pPr>
        <w:jc w:val="both"/>
        <w:rPr>
          <w:rFonts w:ascii="Times New Roman" w:hAnsi="Times New Roman"/>
          <w:sz w:val="24"/>
          <w:szCs w:val="24"/>
        </w:rPr>
      </w:pPr>
    </w:p>
    <w:p w14:paraId="7DF96118" w14:textId="77777777" w:rsidR="00524F84" w:rsidRDefault="00524F84" w:rsidP="00524F84">
      <w:pPr>
        <w:jc w:val="both"/>
        <w:rPr>
          <w:rFonts w:ascii="Times New Roman" w:hAnsi="Times New Roman"/>
          <w:color w:val="0070C0"/>
          <w:sz w:val="24"/>
          <w:szCs w:val="24"/>
        </w:rPr>
      </w:pPr>
      <w:r>
        <w:rPr>
          <w:rFonts w:ascii="Times New Roman" w:hAnsi="Times New Roman"/>
          <w:sz w:val="24"/>
          <w:szCs w:val="24"/>
        </w:rPr>
        <w:t xml:space="preserve">The dataset is known as the Private Participation in Infrastructure (PPI) database. Updates are provided every six months (usually April and October) and the data is publicly available at </w:t>
      </w:r>
      <w:hyperlink r:id="rId12" w:history="1">
        <w:r>
          <w:rPr>
            <w:rStyle w:val="Hyperlink"/>
            <w:rFonts w:ascii="Times New Roman" w:hAnsi="Times New Roman"/>
            <w:sz w:val="24"/>
            <w:szCs w:val="24"/>
          </w:rPr>
          <w:t>www.ppi.worldbank.org</w:t>
        </w:r>
      </w:hyperlink>
      <w:r>
        <w:rPr>
          <w:rFonts w:ascii="Times New Roman" w:hAnsi="Times New Roman"/>
          <w:color w:val="0070C0"/>
          <w:sz w:val="24"/>
          <w:szCs w:val="24"/>
        </w:rPr>
        <w:t xml:space="preserve">. </w:t>
      </w:r>
      <w:r>
        <w:rPr>
          <w:rFonts w:ascii="Times New Roman" w:hAnsi="Times New Roman"/>
          <w:sz w:val="24"/>
          <w:szCs w:val="24"/>
        </w:rPr>
        <w:t xml:space="preserve">This indicator is also available at the World Development Indicators at </w:t>
      </w:r>
      <w:r>
        <w:rPr>
          <w:rFonts w:ascii="Times New Roman" w:hAnsi="Times New Roman"/>
          <w:color w:val="0070C0"/>
          <w:sz w:val="24"/>
          <w:szCs w:val="24"/>
        </w:rPr>
        <w:t>http://databank.worldbank.org/data/reports.aspx?source=world-development-indicators</w:t>
      </w:r>
    </w:p>
    <w:p w14:paraId="630EC4C3" w14:textId="77777777" w:rsidR="00524F84" w:rsidRPr="00573631" w:rsidRDefault="00524F84" w:rsidP="00524F84">
      <w:pPr>
        <w:shd w:val="clear" w:color="auto" w:fill="FFFFFF"/>
        <w:spacing w:after="0"/>
        <w:rPr>
          <w:rFonts w:eastAsia="Times New Roman" w:cs="Times New Roman"/>
          <w:color w:val="4A4A4A"/>
          <w:sz w:val="21"/>
          <w:szCs w:val="21"/>
          <w:lang w:eastAsia="en-GB"/>
        </w:rPr>
      </w:pPr>
    </w:p>
    <w:p w14:paraId="489F4E2C" w14:textId="77777777" w:rsidR="00524F84" w:rsidRPr="00573631" w:rsidRDefault="00524F84" w:rsidP="00524F84">
      <w:pPr>
        <w:shd w:val="clear" w:color="auto" w:fill="FFFFFF"/>
        <w:spacing w:after="0"/>
        <w:rPr>
          <w:rFonts w:eastAsia="Times New Roman" w:cs="Times New Roman"/>
          <w:color w:val="4A4A4A"/>
          <w:sz w:val="21"/>
          <w:szCs w:val="21"/>
          <w:lang w:eastAsia="en-GB"/>
        </w:rPr>
      </w:pPr>
    </w:p>
    <w:p w14:paraId="2286C5F4" w14:textId="77777777" w:rsidR="00524F84" w:rsidRPr="00573631" w:rsidRDefault="00524F84" w:rsidP="00524F8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2764DE8F" w14:textId="77777777" w:rsidR="00524F84" w:rsidRDefault="00524F84" w:rsidP="00524F84">
      <w:pPr>
        <w:spacing w:before="100" w:beforeAutospacing="1" w:after="100" w:afterAutospacing="1" w:line="330" w:lineRule="atLeast"/>
        <w:jc w:val="both"/>
        <w:rPr>
          <w:rFonts w:ascii="Times New Roman" w:hAnsi="Times New Roman"/>
          <w:sz w:val="24"/>
          <w:szCs w:val="24"/>
        </w:rPr>
      </w:pPr>
      <w:r>
        <w:rPr>
          <w:rFonts w:ascii="Times New Roman" w:hAnsi="Times New Roman"/>
          <w:sz w:val="24"/>
          <w:szCs w:val="24"/>
        </w:rPr>
        <w:lastRenderedPageBreak/>
        <w:t xml:space="preserve">A Team of researcher gather data for each of the regions using public sources (from government and MDBs websites); commercial news databases ( such as </w:t>
      </w:r>
      <w:r>
        <w:rPr>
          <w:rFonts w:ascii="Times New Roman" w:eastAsia="Times New Roman" w:hAnsi="Times New Roman"/>
          <w:sz w:val="24"/>
          <w:szCs w:val="24"/>
        </w:rPr>
        <w:t>Factiva, Business News America, ISI Emerging markets, and the Economist Intelligence Unit’s databases)</w:t>
      </w:r>
      <w:r>
        <w:rPr>
          <w:rFonts w:ascii="Times New Roman" w:hAnsi="Times New Roman"/>
          <w:sz w:val="24"/>
          <w:szCs w:val="24"/>
        </w:rPr>
        <w:t xml:space="preserve"> as well as from commercial specialized and industry publications/subscriptions (</w:t>
      </w:r>
      <w:r>
        <w:rPr>
          <w:rFonts w:ascii="Times New Roman" w:eastAsia="Times New Roman" w:hAnsi="Times New Roman"/>
          <w:sz w:val="24"/>
          <w:szCs w:val="24"/>
        </w:rPr>
        <w:t xml:space="preserve">Thomson </w:t>
      </w:r>
      <w:proofErr w:type="spellStart"/>
      <w:r>
        <w:rPr>
          <w:rFonts w:ascii="Times New Roman" w:eastAsia="Times New Roman" w:hAnsi="Times New Roman"/>
          <w:sz w:val="24"/>
          <w:szCs w:val="24"/>
        </w:rPr>
        <w:t>Financial’s</w:t>
      </w:r>
      <w:proofErr w:type="spellEnd"/>
      <w:r>
        <w:rPr>
          <w:rFonts w:ascii="Times New Roman" w:eastAsia="Times New Roman" w:hAnsi="Times New Roman"/>
          <w:sz w:val="24"/>
          <w:szCs w:val="24"/>
        </w:rPr>
        <w:t xml:space="preserve"> Project Finance International, Euromoney’s Project Finance, Media Analytics’ Global Water Intelligence, </w:t>
      </w:r>
      <w:proofErr w:type="spellStart"/>
      <w:r>
        <w:rPr>
          <w:rFonts w:ascii="Times New Roman" w:eastAsia="Times New Roman" w:hAnsi="Times New Roman"/>
          <w:sz w:val="24"/>
          <w:szCs w:val="24"/>
        </w:rPr>
        <w:t>Pisent</w:t>
      </w:r>
      <w:proofErr w:type="spellEnd"/>
      <w:r>
        <w:rPr>
          <w:rFonts w:ascii="Times New Roman" w:eastAsia="Times New Roman" w:hAnsi="Times New Roman"/>
          <w:sz w:val="24"/>
          <w:szCs w:val="24"/>
        </w:rPr>
        <w:t xml:space="preserve"> Masons’ Water Yearbooks, and Platt’s Power </w:t>
      </w:r>
      <w:r>
        <w:rPr>
          <w:rFonts w:ascii="Times New Roman" w:hAnsi="Times New Roman"/>
          <w:sz w:val="24"/>
          <w:szCs w:val="24"/>
        </w:rPr>
        <w:t xml:space="preserve">in Asia, etc.), specialist portal (such as Privatization, </w:t>
      </w:r>
      <w:proofErr w:type="spellStart"/>
      <w:r>
        <w:rPr>
          <w:rFonts w:ascii="Times New Roman" w:hAnsi="Times New Roman"/>
          <w:sz w:val="24"/>
          <w:szCs w:val="24"/>
        </w:rPr>
        <w:t>IPAnet</w:t>
      </w:r>
      <w:proofErr w:type="spellEnd"/>
      <w:r>
        <w:rPr>
          <w:rFonts w:ascii="Times New Roman" w:hAnsi="Times New Roman"/>
          <w:sz w:val="24"/>
          <w:szCs w:val="24"/>
        </w:rPr>
        <w:t>, and Privatization Barometer), Internet resources (such as web sites of project companies, privatization or PPP agencies, and regulatory agencies) sponsor information (primarily through their Web sites, annual reports, press releases, and financial reports such as 10K and 20F forms submitted to the NYSE) and multilateral development agencies primarily through information on their Websites, annual reports, and other studies.</w:t>
      </w:r>
    </w:p>
    <w:p w14:paraId="63BAE146" w14:textId="77777777" w:rsidR="00524F84" w:rsidRPr="001651F5" w:rsidRDefault="00524F84" w:rsidP="00524F84">
      <w:pPr>
        <w:spacing w:after="0" w:line="240" w:lineRule="auto"/>
        <w:jc w:val="both"/>
        <w:rPr>
          <w:rFonts w:ascii="Times New Roman" w:hAnsi="Times New Roman"/>
          <w:sz w:val="24"/>
          <w:szCs w:val="24"/>
        </w:rPr>
      </w:pPr>
      <w:r>
        <w:rPr>
          <w:rFonts w:ascii="Times New Roman" w:hAnsi="Times New Roman"/>
          <w:sz w:val="24"/>
          <w:szCs w:val="24"/>
        </w:rPr>
        <w:t>D</w:t>
      </w:r>
      <w:r w:rsidRPr="001651F5">
        <w:rPr>
          <w:rFonts w:ascii="Times New Roman" w:hAnsi="Times New Roman"/>
          <w:sz w:val="24"/>
          <w:szCs w:val="24"/>
        </w:rPr>
        <w:t>ata is uploaded to an administrative website through a template to make sure data is standardized.</w:t>
      </w:r>
    </w:p>
    <w:p w14:paraId="136125A8" w14:textId="77777777" w:rsidR="00524F84" w:rsidRPr="001651F5" w:rsidRDefault="00524F84" w:rsidP="00524F84">
      <w:pPr>
        <w:spacing w:after="0" w:line="240" w:lineRule="auto"/>
        <w:jc w:val="both"/>
        <w:rPr>
          <w:rFonts w:ascii="Times New Roman" w:hAnsi="Times New Roman"/>
          <w:sz w:val="24"/>
          <w:szCs w:val="24"/>
        </w:rPr>
      </w:pPr>
      <w:r w:rsidRPr="001651F5">
        <w:rPr>
          <w:rFonts w:ascii="Times New Roman" w:hAnsi="Times New Roman"/>
          <w:sz w:val="24"/>
          <w:szCs w:val="24"/>
        </w:rPr>
        <w:t xml:space="preserve">Data is validated by a group of experts in Singapore first (PPI team), then for the World Bank Group focal points </w:t>
      </w:r>
      <w:proofErr w:type="gramStart"/>
      <w:r w:rsidRPr="001651F5">
        <w:rPr>
          <w:rFonts w:ascii="Times New Roman" w:hAnsi="Times New Roman"/>
          <w:sz w:val="24"/>
          <w:szCs w:val="24"/>
        </w:rPr>
        <w:t>colleagues..</w:t>
      </w:r>
      <w:proofErr w:type="gramEnd"/>
    </w:p>
    <w:p w14:paraId="10EE4EBD" w14:textId="77777777" w:rsidR="00524F84" w:rsidRPr="001651F5" w:rsidRDefault="00524F84" w:rsidP="00524F84">
      <w:pPr>
        <w:spacing w:after="0" w:line="240" w:lineRule="auto"/>
        <w:jc w:val="both"/>
        <w:rPr>
          <w:rFonts w:ascii="Times New Roman" w:hAnsi="Times New Roman"/>
          <w:sz w:val="24"/>
          <w:szCs w:val="24"/>
        </w:rPr>
      </w:pPr>
      <w:r w:rsidRPr="001651F5">
        <w:rPr>
          <w:rFonts w:ascii="Times New Roman" w:hAnsi="Times New Roman"/>
          <w:sz w:val="24"/>
          <w:szCs w:val="24"/>
        </w:rPr>
        <w:t>Data is later uploaded to the public website (www.ppi.worldbank.org) and make it available free of charge.</w:t>
      </w:r>
      <w:r>
        <w:rPr>
          <w:rFonts w:ascii="Times New Roman" w:hAnsi="Times New Roman"/>
          <w:sz w:val="24"/>
          <w:szCs w:val="24"/>
        </w:rPr>
        <w:t xml:space="preserve"> The website </w:t>
      </w:r>
      <w:proofErr w:type="gramStart"/>
      <w:r>
        <w:rPr>
          <w:rFonts w:ascii="Times New Roman" w:hAnsi="Times New Roman"/>
          <w:sz w:val="24"/>
          <w:szCs w:val="24"/>
        </w:rPr>
        <w:t>have</w:t>
      </w:r>
      <w:proofErr w:type="gramEnd"/>
      <w:r>
        <w:rPr>
          <w:rFonts w:ascii="Times New Roman" w:hAnsi="Times New Roman"/>
          <w:sz w:val="24"/>
          <w:szCs w:val="24"/>
        </w:rPr>
        <w:t xml:space="preserve"> a mechanism for challenges the data and welcome all PPP units to challenges the information about any project.</w:t>
      </w:r>
    </w:p>
    <w:p w14:paraId="214F5EB0" w14:textId="77777777" w:rsidR="00524F84" w:rsidRPr="00573631" w:rsidRDefault="00524F84" w:rsidP="00524F84">
      <w:pPr>
        <w:shd w:val="clear" w:color="auto" w:fill="FFFFFF"/>
        <w:spacing w:after="0"/>
        <w:rPr>
          <w:rFonts w:eastAsia="Times New Roman" w:cs="Times New Roman"/>
          <w:color w:val="4A4A4A"/>
          <w:sz w:val="21"/>
          <w:szCs w:val="21"/>
          <w:lang w:eastAsia="en-GB"/>
        </w:rPr>
      </w:pPr>
    </w:p>
    <w:p w14:paraId="1C99878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26A0CBA4" w14:textId="77777777" w:rsidR="00524F84" w:rsidRDefault="00524F84" w:rsidP="00524F84">
      <w:pPr>
        <w:shd w:val="clear" w:color="auto" w:fill="FFFFFF"/>
        <w:rPr>
          <w:rFonts w:eastAsia="Times New Roman" w:cs="Times New Roman"/>
          <w:color w:val="4A4A4A"/>
          <w:sz w:val="21"/>
          <w:szCs w:val="21"/>
          <w:lang w:eastAsia="en-GB"/>
        </w:rPr>
      </w:pPr>
      <w:r>
        <w:rPr>
          <w:rFonts w:ascii="Times New Roman" w:hAnsi="Times New Roman"/>
          <w:sz w:val="24"/>
          <w:szCs w:val="24"/>
        </w:rPr>
        <w:t xml:space="preserve">The existing PPI database includes data on </w:t>
      </w:r>
      <w:r w:rsidRPr="00F61A25">
        <w:rPr>
          <w:rFonts w:ascii="Times New Roman" w:hAnsi="Times New Roman"/>
          <w:sz w:val="24"/>
          <w:szCs w:val="24"/>
          <w:lang w:val="en-US"/>
        </w:rPr>
        <w:t xml:space="preserve">6,400 projects over </w:t>
      </w:r>
      <w:r>
        <w:rPr>
          <w:rFonts w:ascii="Times New Roman" w:hAnsi="Times New Roman"/>
          <w:sz w:val="24"/>
          <w:szCs w:val="24"/>
          <w:lang w:val="en-US"/>
        </w:rPr>
        <w:t>25</w:t>
      </w:r>
      <w:r w:rsidRPr="00F61A25">
        <w:rPr>
          <w:rFonts w:ascii="Times New Roman" w:hAnsi="Times New Roman"/>
          <w:sz w:val="24"/>
          <w:szCs w:val="24"/>
          <w:lang w:val="en-US"/>
        </w:rPr>
        <w:t xml:space="preserve"> years (19</w:t>
      </w:r>
      <w:r>
        <w:rPr>
          <w:rFonts w:ascii="Times New Roman" w:hAnsi="Times New Roman"/>
          <w:sz w:val="24"/>
          <w:szCs w:val="24"/>
          <w:lang w:val="en-US"/>
        </w:rPr>
        <w:t>90-2016</w:t>
      </w:r>
      <w:r w:rsidRPr="00F61A25">
        <w:rPr>
          <w:rFonts w:ascii="Times New Roman" w:hAnsi="Times New Roman"/>
          <w:sz w:val="24"/>
          <w:szCs w:val="24"/>
          <w:lang w:val="en-US"/>
        </w:rPr>
        <w:t>), with over 50 variables per project</w:t>
      </w:r>
      <w:r>
        <w:rPr>
          <w:rFonts w:ascii="Times New Roman" w:hAnsi="Times New Roman"/>
          <w:sz w:val="24"/>
          <w:szCs w:val="24"/>
          <w:lang w:val="en-US"/>
        </w:rPr>
        <w:t>. It covers projects in 1</w:t>
      </w:r>
      <w:r>
        <w:rPr>
          <w:rFonts w:ascii="Times New Roman" w:hAnsi="Times New Roman"/>
          <w:sz w:val="24"/>
          <w:szCs w:val="24"/>
        </w:rPr>
        <w:t xml:space="preserve">39 low and </w:t>
      </w:r>
      <w:proofErr w:type="gramStart"/>
      <w:r>
        <w:rPr>
          <w:rFonts w:ascii="Times New Roman" w:hAnsi="Times New Roman"/>
          <w:sz w:val="24"/>
          <w:szCs w:val="24"/>
        </w:rPr>
        <w:t>middle income</w:t>
      </w:r>
      <w:proofErr w:type="gramEnd"/>
      <w:r>
        <w:rPr>
          <w:rFonts w:ascii="Times New Roman" w:hAnsi="Times New Roman"/>
          <w:sz w:val="24"/>
          <w:szCs w:val="24"/>
        </w:rPr>
        <w:t xml:space="preserve"> countries as classified by the World Bank. The list of countries is reviewed every five years </w:t>
      </w:r>
      <w:proofErr w:type="gramStart"/>
      <w:r>
        <w:rPr>
          <w:rFonts w:ascii="Times New Roman" w:hAnsi="Times New Roman"/>
          <w:sz w:val="24"/>
          <w:szCs w:val="24"/>
        </w:rPr>
        <w:t>in order to</w:t>
      </w:r>
      <w:proofErr w:type="gramEnd"/>
      <w:r>
        <w:rPr>
          <w:rFonts w:ascii="Times New Roman" w:hAnsi="Times New Roman"/>
          <w:sz w:val="24"/>
          <w:szCs w:val="24"/>
        </w:rPr>
        <w:t xml:space="preserve"> maintain continuity in the data.  </w:t>
      </w:r>
    </w:p>
    <w:p w14:paraId="5527ECAB"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F7016AF" w14:textId="77777777" w:rsidR="00524F84" w:rsidRDefault="00524F84" w:rsidP="00524F84">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indicator is available since 1990 and data can be disaggregated on the monthly basis (</w:t>
      </w:r>
      <w:proofErr w:type="spellStart"/>
      <w:r>
        <w:rPr>
          <w:rFonts w:eastAsia="Times New Roman" w:cs="Times New Roman"/>
          <w:color w:val="4A4A4A"/>
          <w:sz w:val="21"/>
          <w:szCs w:val="21"/>
          <w:lang w:eastAsia="en-GB"/>
        </w:rPr>
        <w:t>i.e</w:t>
      </w:r>
      <w:proofErr w:type="spellEnd"/>
      <w:r>
        <w:rPr>
          <w:rFonts w:eastAsia="Times New Roman" w:cs="Times New Roman"/>
          <w:color w:val="4A4A4A"/>
          <w:sz w:val="21"/>
          <w:szCs w:val="21"/>
          <w:lang w:eastAsia="en-GB"/>
        </w:rPr>
        <w:t xml:space="preserve"> total investments in infrastructure PPP projects that reached financial closure in a </w:t>
      </w:r>
      <w:proofErr w:type="gramStart"/>
      <w:r>
        <w:rPr>
          <w:rFonts w:eastAsia="Times New Roman" w:cs="Times New Roman"/>
          <w:color w:val="4A4A4A"/>
          <w:sz w:val="21"/>
          <w:szCs w:val="21"/>
          <w:lang w:eastAsia="en-GB"/>
        </w:rPr>
        <w:t>particular month</w:t>
      </w:r>
      <w:proofErr w:type="gramEnd"/>
      <w:r>
        <w:rPr>
          <w:rFonts w:eastAsia="Times New Roman" w:cs="Times New Roman"/>
          <w:color w:val="4A4A4A"/>
          <w:sz w:val="21"/>
          <w:szCs w:val="21"/>
          <w:lang w:eastAsia="en-GB"/>
        </w:rPr>
        <w:t xml:space="preserve"> since 1990).</w:t>
      </w:r>
    </w:p>
    <w:p w14:paraId="06235371" w14:textId="77777777" w:rsidR="000173F9" w:rsidRPr="00573631"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05AC6420" w14:textId="77777777" w:rsidR="00524F84" w:rsidRDefault="00524F84" w:rsidP="00524F84">
      <w:pPr>
        <w:shd w:val="clear" w:color="auto" w:fill="FFFFFF"/>
        <w:tabs>
          <w:tab w:val="left" w:pos="1320"/>
        </w:tabs>
        <w:spacing w:after="0"/>
        <w:rPr>
          <w:rFonts w:ascii="Times New Roman" w:hAnsi="Times New Roman"/>
          <w:sz w:val="24"/>
          <w:szCs w:val="24"/>
        </w:rPr>
      </w:pPr>
      <w:r>
        <w:rPr>
          <w:rFonts w:ascii="Times New Roman" w:hAnsi="Times New Roman"/>
          <w:sz w:val="24"/>
          <w:szCs w:val="24"/>
        </w:rPr>
        <w:t>Data is collected in an ongoing basis. Updates are provided every six months (usually April and October).</w:t>
      </w:r>
    </w:p>
    <w:p w14:paraId="3A4A9498"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E1E3056" w14:textId="762B0D77" w:rsidR="00524F84" w:rsidRDefault="00524F84" w:rsidP="00524F8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for the first half of 2018</w:t>
      </w:r>
      <w:r>
        <w:rPr>
          <w:rFonts w:eastAsia="Times New Roman" w:cs="Times New Roman"/>
          <w:color w:val="4A4A4A"/>
          <w:sz w:val="21"/>
          <w:szCs w:val="21"/>
          <w:lang w:eastAsia="en-GB"/>
        </w:rPr>
        <w:t xml:space="preserve"> was just released in October. Next release</w:t>
      </w:r>
      <w:r>
        <w:rPr>
          <w:rFonts w:eastAsia="Times New Roman" w:cs="Times New Roman"/>
          <w:color w:val="4A4A4A"/>
          <w:sz w:val="21"/>
          <w:szCs w:val="21"/>
          <w:lang w:eastAsia="en-GB"/>
        </w:rPr>
        <w:t xml:space="preserve"> will be available in April 2019</w:t>
      </w:r>
      <w:r>
        <w:rPr>
          <w:rFonts w:eastAsia="Times New Roman" w:cs="Times New Roman"/>
          <w:color w:val="4A4A4A"/>
          <w:sz w:val="21"/>
          <w:szCs w:val="21"/>
          <w:lang w:eastAsia="en-GB"/>
        </w:rPr>
        <w:t>.</w:t>
      </w: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providers</w:t>
      </w:r>
    </w:p>
    <w:p w14:paraId="4CE9E167" w14:textId="77777777" w:rsidR="002D1B52" w:rsidRDefault="002D1B52" w:rsidP="002D1B5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While the data is currently collected by the World Bank Group, PPP units at national and subnational level </w:t>
      </w:r>
      <w:proofErr w:type="gramStart"/>
      <w:r>
        <w:rPr>
          <w:rFonts w:eastAsia="Times New Roman" w:cs="Times New Roman"/>
          <w:color w:val="4A4A4A"/>
          <w:sz w:val="21"/>
          <w:szCs w:val="21"/>
          <w:lang w:eastAsia="en-GB"/>
        </w:rPr>
        <w:t>are  identified</w:t>
      </w:r>
      <w:proofErr w:type="gramEnd"/>
      <w:r>
        <w:rPr>
          <w:rFonts w:eastAsia="Times New Roman" w:cs="Times New Roman"/>
          <w:color w:val="4A4A4A"/>
          <w:sz w:val="21"/>
          <w:szCs w:val="21"/>
          <w:lang w:eastAsia="en-GB"/>
        </w:rPr>
        <w:t xml:space="preserve"> as national data providers that could directly provide data on projects financially closed each year or they could actively validate data collected by World Bank group.</w:t>
      </w:r>
    </w:p>
    <w:p w14:paraId="2EC840EA"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17A3C49D" w14:textId="77777777" w:rsidR="002D1B52" w:rsidRDefault="002D1B52" w:rsidP="002D1B5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World Bank Group.</w:t>
      </w:r>
    </w:p>
    <w:p w14:paraId="15E5B7B9"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7B0E124" w14:textId="77777777" w:rsidR="002D1B52" w:rsidRPr="00325E40" w:rsidRDefault="002D1B52" w:rsidP="002D1B52">
      <w:pPr>
        <w:pBdr>
          <w:bottom w:val="single" w:sz="12" w:space="4" w:color="DDDDDD"/>
        </w:pBdr>
        <w:shd w:val="clear" w:color="auto" w:fill="FFFFFF"/>
        <w:spacing w:after="0"/>
        <w:outlineLvl w:val="2"/>
        <w:rPr>
          <w:rFonts w:eastAsia="Times New Roman" w:cs="Times New Roman"/>
          <w:color w:val="1C75BC"/>
          <w:sz w:val="36"/>
          <w:szCs w:val="36"/>
          <w:lang w:eastAsia="en-GB"/>
        </w:rPr>
      </w:pPr>
      <w:r>
        <w:rPr>
          <w:rFonts w:ascii="Times New Roman" w:hAnsi="Times New Roman"/>
          <w:sz w:val="24"/>
          <w:szCs w:val="24"/>
        </w:rPr>
        <w:t xml:space="preserve">The data is publicly available at </w:t>
      </w:r>
      <w:hyperlink r:id="rId13" w:history="1">
        <w:r>
          <w:rPr>
            <w:rStyle w:val="Hyperlink"/>
            <w:rFonts w:ascii="Times New Roman" w:hAnsi="Times New Roman"/>
            <w:sz w:val="24"/>
            <w:szCs w:val="24"/>
          </w:rPr>
          <w:t>www.ppi.worldbank.org</w:t>
        </w:r>
      </w:hyperlink>
      <w:r>
        <w:rPr>
          <w:rFonts w:ascii="Times New Roman" w:hAnsi="Times New Roman"/>
          <w:color w:val="0070C0"/>
          <w:sz w:val="24"/>
          <w:szCs w:val="24"/>
        </w:rPr>
        <w:t xml:space="preserve">. </w:t>
      </w:r>
      <w:r>
        <w:rPr>
          <w:rFonts w:ascii="Times New Roman" w:hAnsi="Times New Roman"/>
          <w:sz w:val="24"/>
          <w:szCs w:val="24"/>
        </w:rPr>
        <w:t xml:space="preserve">This indicator is also available at the World Development Indicators at </w:t>
      </w:r>
      <w:hyperlink r:id="rId14" w:history="1">
        <w:r>
          <w:rPr>
            <w:rStyle w:val="Hyperlink"/>
            <w:rFonts w:ascii="Times New Roman" w:hAnsi="Times New Roman"/>
            <w:sz w:val="24"/>
            <w:szCs w:val="24"/>
          </w:rPr>
          <w:t>http://databank.worldbank.org/data/reports.aspx?source=world-development-indicators</w:t>
        </w:r>
      </w:hyperlink>
    </w:p>
    <w:p w14:paraId="17B9FD28" w14:textId="77777777" w:rsidR="002D1B52" w:rsidRDefault="002D1B52" w:rsidP="002D1B52">
      <w:pPr>
        <w:shd w:val="clear" w:color="auto" w:fill="FFFFFF"/>
        <w:spacing w:after="0"/>
        <w:rPr>
          <w:rFonts w:eastAsia="Times New Roman" w:cs="Times New Roman"/>
          <w:b/>
          <w:bCs/>
          <w:color w:val="4A4A4A"/>
          <w:sz w:val="21"/>
          <w:szCs w:val="21"/>
          <w:lang w:eastAsia="en-GB"/>
        </w:rPr>
      </w:pP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492DFFB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p>
    <w:p w14:paraId="04B7E20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1D67ED02"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References:</w:t>
      </w:r>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9A82DD9" w14:textId="759165A6" w:rsidR="0058556D" w:rsidRDefault="00803CF1" w:rsidP="00573631">
      <w:pPr>
        <w:shd w:val="clear" w:color="auto" w:fill="FFFFFF"/>
        <w:spacing w:after="0"/>
        <w:rPr>
          <w:rFonts w:eastAsia="Times New Roman" w:cs="Times New Roman"/>
          <w:color w:val="4A4A4A"/>
          <w:sz w:val="21"/>
          <w:szCs w:val="21"/>
          <w:lang w:eastAsia="en-GB"/>
        </w:rPr>
      </w:pPr>
      <w:r w:rsidRPr="002D1B52">
        <w:rPr>
          <w:rFonts w:eastAsia="Times New Roman" w:cs="Times New Roman"/>
          <w:color w:val="4A4A4A"/>
          <w:sz w:val="21"/>
          <w:szCs w:val="21"/>
          <w:lang w:eastAsia="en-GB"/>
        </w:rPr>
        <w:t>Linkages with any other Goals and Targets:</w:t>
      </w:r>
      <w:r w:rsidR="002D1B52">
        <w:rPr>
          <w:rFonts w:eastAsia="Times New Roman" w:cs="Times New Roman"/>
          <w:color w:val="4A4A4A"/>
          <w:sz w:val="21"/>
          <w:szCs w:val="21"/>
          <w:lang w:eastAsia="en-GB"/>
        </w:rPr>
        <w:t xml:space="preserve"> No</w:t>
      </w:r>
    </w:p>
    <w:p w14:paraId="43F3D3FF" w14:textId="77777777" w:rsidR="00803CF1" w:rsidRPr="00803CF1" w:rsidRDefault="00803CF1" w:rsidP="00573631">
      <w:pPr>
        <w:shd w:val="clear" w:color="auto" w:fill="FFFFFF"/>
        <w:spacing w:after="0"/>
        <w:rPr>
          <w:rFonts w:eastAsia="Times New Roman" w:cs="Times New Roman"/>
          <w:color w:val="4A4A4A"/>
          <w:sz w:val="21"/>
          <w:szCs w:val="21"/>
          <w:lang w:eastAsia="en-GB"/>
        </w:rPr>
      </w:pPr>
    </w:p>
    <w:p w14:paraId="7C18B945" w14:textId="77777777" w:rsidR="0058556D" w:rsidRPr="00573631" w:rsidRDefault="0058556D" w:rsidP="00573631">
      <w:pPr>
        <w:shd w:val="clear" w:color="auto" w:fill="FFFFFF"/>
        <w:spacing w:after="0"/>
        <w:rPr>
          <w:rFonts w:eastAsia="Times New Roman" w:cs="Times New Roman"/>
          <w:color w:val="4A4A4A"/>
          <w:sz w:val="21"/>
          <w:szCs w:val="21"/>
          <w:lang w:eastAsia="en-GB"/>
        </w:rPr>
      </w:pPr>
      <w:bookmarkStart w:id="0" w:name="_GoBack"/>
      <w:bookmarkEnd w:id="0"/>
    </w:p>
    <w:sectPr w:rsidR="0058556D" w:rsidRPr="00573631">
      <w:headerReference w:type="default" r:id="rId1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EF9C8" w14:textId="77777777" w:rsidR="00C90BBE" w:rsidRDefault="00C90BBE" w:rsidP="00573C0B">
      <w:pPr>
        <w:spacing w:after="0" w:line="240" w:lineRule="auto"/>
      </w:pPr>
      <w:r>
        <w:separator/>
      </w:r>
    </w:p>
  </w:endnote>
  <w:endnote w:type="continuationSeparator" w:id="0">
    <w:p w14:paraId="1078D459" w14:textId="77777777" w:rsidR="00C90BBE" w:rsidRDefault="00C90BBE"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19AD5" w14:textId="77777777" w:rsidR="00C90BBE" w:rsidRDefault="00C90BBE" w:rsidP="00573C0B">
      <w:pPr>
        <w:spacing w:after="0" w:line="240" w:lineRule="auto"/>
      </w:pPr>
      <w:r>
        <w:separator/>
      </w:r>
    </w:p>
  </w:footnote>
  <w:footnote w:type="continuationSeparator" w:id="0">
    <w:p w14:paraId="15A12934" w14:textId="77777777" w:rsidR="00C90BBE" w:rsidRDefault="00C90BBE" w:rsidP="00573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578BFE3D" w:rsidR="00077F46" w:rsidRPr="00077F46" w:rsidRDefault="00077F46" w:rsidP="00077F46">
    <w:pPr>
      <w:pStyle w:val="Header"/>
      <w:jc w:val="right"/>
      <w:rPr>
        <w:sz w:val="18"/>
        <w:szCs w:val="18"/>
      </w:rPr>
    </w:pPr>
    <w:r w:rsidRPr="00077F46">
      <w:rPr>
        <w:sz w:val="18"/>
        <w:szCs w:val="18"/>
      </w:rPr>
      <w:t>Last updated: 27 December 2017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07C114C"/>
    <w:lvl w:ilvl="0">
      <w:numFmt w:val="bullet"/>
      <w:lvlText w:val="*"/>
      <w:lvlJc w:val="left"/>
      <w:pPr>
        <w:ind w:left="0" w:firstLine="0"/>
      </w:pPr>
    </w:lvl>
  </w:abstractNum>
  <w:abstractNum w:abstractNumId="1" w15:restartNumberingAfterBreak="0">
    <w:nsid w:val="12575685"/>
    <w:multiLevelType w:val="hybridMultilevel"/>
    <w:tmpl w:val="04DA69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0"/>
    <w:lvlOverride w:ilvl="0">
      <w:lvl w:ilvl="0">
        <w:numFmt w:val="bullet"/>
        <w:lvlText w:val=""/>
        <w:legacy w:legacy="1" w:legacySpace="0" w:legacyIndent="360"/>
        <w:lvlJc w:val="left"/>
        <w:pPr>
          <w:ind w:left="360" w:hanging="360"/>
        </w:pPr>
        <w:rPr>
          <w:rFonts w:ascii="Symbol" w:hAnsi="Symbol" w:hint="default"/>
        </w:rPr>
      </w:lvl>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6D"/>
    <w:rsid w:val="000070BA"/>
    <w:rsid w:val="000173F9"/>
    <w:rsid w:val="00047DDA"/>
    <w:rsid w:val="00071F07"/>
    <w:rsid w:val="0007759D"/>
    <w:rsid w:val="000777AB"/>
    <w:rsid w:val="00077F46"/>
    <w:rsid w:val="00090FB1"/>
    <w:rsid w:val="00096186"/>
    <w:rsid w:val="000A72E4"/>
    <w:rsid w:val="000B0E2F"/>
    <w:rsid w:val="000B2430"/>
    <w:rsid w:val="000D0B30"/>
    <w:rsid w:val="000F703E"/>
    <w:rsid w:val="00120E86"/>
    <w:rsid w:val="00125DE9"/>
    <w:rsid w:val="001332E0"/>
    <w:rsid w:val="00134DE7"/>
    <w:rsid w:val="00185354"/>
    <w:rsid w:val="001854DC"/>
    <w:rsid w:val="00194D09"/>
    <w:rsid w:val="001B60AA"/>
    <w:rsid w:val="001C421F"/>
    <w:rsid w:val="001D360D"/>
    <w:rsid w:val="00261A8D"/>
    <w:rsid w:val="00283C1C"/>
    <w:rsid w:val="00291A00"/>
    <w:rsid w:val="00291A11"/>
    <w:rsid w:val="002A315C"/>
    <w:rsid w:val="002A3342"/>
    <w:rsid w:val="002A64BA"/>
    <w:rsid w:val="002B4989"/>
    <w:rsid w:val="002D1B52"/>
    <w:rsid w:val="002D714E"/>
    <w:rsid w:val="002E53C3"/>
    <w:rsid w:val="0034329E"/>
    <w:rsid w:val="00343FAA"/>
    <w:rsid w:val="00353C98"/>
    <w:rsid w:val="00371A20"/>
    <w:rsid w:val="003A7CEA"/>
    <w:rsid w:val="003F0BD3"/>
    <w:rsid w:val="003F278A"/>
    <w:rsid w:val="00422EA5"/>
    <w:rsid w:val="00422EFA"/>
    <w:rsid w:val="004456ED"/>
    <w:rsid w:val="004841B8"/>
    <w:rsid w:val="004930F2"/>
    <w:rsid w:val="004B0F1C"/>
    <w:rsid w:val="00502DBA"/>
    <w:rsid w:val="005040C4"/>
    <w:rsid w:val="00507637"/>
    <w:rsid w:val="00507852"/>
    <w:rsid w:val="00514DBF"/>
    <w:rsid w:val="00524F84"/>
    <w:rsid w:val="00550921"/>
    <w:rsid w:val="00563712"/>
    <w:rsid w:val="00573631"/>
    <w:rsid w:val="00573C0B"/>
    <w:rsid w:val="0058556D"/>
    <w:rsid w:val="00597748"/>
    <w:rsid w:val="005D0AF4"/>
    <w:rsid w:val="005E54BD"/>
    <w:rsid w:val="005F6CCA"/>
    <w:rsid w:val="006104AF"/>
    <w:rsid w:val="00621893"/>
    <w:rsid w:val="006351E1"/>
    <w:rsid w:val="006852FC"/>
    <w:rsid w:val="006B40AB"/>
    <w:rsid w:val="006B5DC5"/>
    <w:rsid w:val="006C7D30"/>
    <w:rsid w:val="006E3C08"/>
    <w:rsid w:val="00700ACF"/>
    <w:rsid w:val="00712487"/>
    <w:rsid w:val="007530CA"/>
    <w:rsid w:val="007578D9"/>
    <w:rsid w:val="00763E43"/>
    <w:rsid w:val="00764EB5"/>
    <w:rsid w:val="00777A95"/>
    <w:rsid w:val="007D0981"/>
    <w:rsid w:val="007D1929"/>
    <w:rsid w:val="00803CF1"/>
    <w:rsid w:val="008249C5"/>
    <w:rsid w:val="008526F9"/>
    <w:rsid w:val="008534D4"/>
    <w:rsid w:val="00881E28"/>
    <w:rsid w:val="00894C4B"/>
    <w:rsid w:val="008A12E3"/>
    <w:rsid w:val="008A42FA"/>
    <w:rsid w:val="008C2335"/>
    <w:rsid w:val="008C67C1"/>
    <w:rsid w:val="008F07D2"/>
    <w:rsid w:val="00917F65"/>
    <w:rsid w:val="009311E7"/>
    <w:rsid w:val="009A7E3A"/>
    <w:rsid w:val="009B1265"/>
    <w:rsid w:val="009B5693"/>
    <w:rsid w:val="009C78E4"/>
    <w:rsid w:val="009D687E"/>
    <w:rsid w:val="009F6DE7"/>
    <w:rsid w:val="00A37FCB"/>
    <w:rsid w:val="00A54863"/>
    <w:rsid w:val="00A61D74"/>
    <w:rsid w:val="00A8688B"/>
    <w:rsid w:val="00A9286F"/>
    <w:rsid w:val="00AF5CB4"/>
    <w:rsid w:val="00AF71D6"/>
    <w:rsid w:val="00B3175F"/>
    <w:rsid w:val="00B402D8"/>
    <w:rsid w:val="00B4237C"/>
    <w:rsid w:val="00B42FE8"/>
    <w:rsid w:val="00B52AFD"/>
    <w:rsid w:val="00B54077"/>
    <w:rsid w:val="00B8087E"/>
    <w:rsid w:val="00BB646E"/>
    <w:rsid w:val="00BD1BA1"/>
    <w:rsid w:val="00C35BC4"/>
    <w:rsid w:val="00C43F5B"/>
    <w:rsid w:val="00C90BBE"/>
    <w:rsid w:val="00CB4371"/>
    <w:rsid w:val="00D40056"/>
    <w:rsid w:val="00D54F29"/>
    <w:rsid w:val="00D70AD9"/>
    <w:rsid w:val="00D72152"/>
    <w:rsid w:val="00D94BA5"/>
    <w:rsid w:val="00D9510F"/>
    <w:rsid w:val="00DD1BC6"/>
    <w:rsid w:val="00DE5DC3"/>
    <w:rsid w:val="00E00D8A"/>
    <w:rsid w:val="00E11604"/>
    <w:rsid w:val="00E11D92"/>
    <w:rsid w:val="00E130A0"/>
    <w:rsid w:val="00E210C4"/>
    <w:rsid w:val="00E66409"/>
    <w:rsid w:val="00E81D5B"/>
    <w:rsid w:val="00EB19AD"/>
    <w:rsid w:val="00EB6493"/>
    <w:rsid w:val="00ED05A9"/>
    <w:rsid w:val="00F17257"/>
    <w:rsid w:val="00F34D24"/>
    <w:rsid w:val="00F556A2"/>
    <w:rsid w:val="00F878B9"/>
    <w:rsid w:val="00FB24E8"/>
    <w:rsid w:val="00FB3B2B"/>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customStyle="1" w:styleId="tgc">
    <w:name w:val="_tgc"/>
    <w:basedOn w:val="DefaultParagraphFont"/>
    <w:rsid w:val="00524F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unstats.un.org/sdgs/iaeg-sdgs/metadata-compilation/&amp;sa=D&amp;ust=1466027477693000&amp;usg=AFQjCNFlmrpuY54k6VytW1h6omz-Opz6Jw" TargetMode="External"/><Relationship Id="rId13" Type="http://schemas.openxmlformats.org/officeDocument/2006/relationships/hyperlink" Target="http://www.ppi.worldbank.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pi.worldbank.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pi.worldbank.org/methodology/ppi-methodology"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ppi.worldbank.org/methodology/ppi-methodology" TargetMode="External"/><Relationship Id="rId4" Type="http://schemas.openxmlformats.org/officeDocument/2006/relationships/settings" Target="settings.xml"/><Relationship Id="rId9" Type="http://schemas.openxmlformats.org/officeDocument/2006/relationships/hyperlink" Target="mailto:lin@un.org" TargetMode="External"/><Relationship Id="rId14" Type="http://schemas.openxmlformats.org/officeDocument/2006/relationships/hyperlink" Target="http://databank.worldbank.org/data/reports.aspx?source=world-development-indicat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802E-EA6E-47A5-807B-7C10803C5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2117</Words>
  <Characters>12070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Fernanda Ruiz Nunez</cp:lastModifiedBy>
  <cp:revision>2</cp:revision>
  <cp:lastPrinted>2016-07-16T14:25:00Z</cp:lastPrinted>
  <dcterms:created xsi:type="dcterms:W3CDTF">2018-09-27T10:55:00Z</dcterms:created>
  <dcterms:modified xsi:type="dcterms:W3CDTF">2018-09-27T10:55:00Z</dcterms:modified>
</cp:coreProperties>
</file>